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 2026</w:t>
      </w:r>
    </w:p>
    <w:p>
      <w:pPr>
        <w:spacing w:after="0" w:line="200" w:lineRule="exact"/>
        <w:rPr>
          <w:sz w:val="24"/>
          <w:szCs w:val="24"/>
          <w:color w:val="auto"/>
        </w:rPr>
      </w:pPr>
    </w:p>
    <w:p>
      <w:pPr>
        <w:spacing w:after="0" w:line="26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Allbirds, Inc.</w:t>
      </w:r>
    </w:p>
    <w:p>
      <w:pPr>
        <w:jc w:val="center"/>
        <w:spacing w:after="0" w:line="208"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00" w:lineRule="exact"/>
        <w:rPr>
          <w:sz w:val="24"/>
          <w:szCs w:val="24"/>
          <w:color w:val="auto"/>
        </w:rPr>
      </w:pPr>
    </w:p>
    <w:p>
      <w:pPr>
        <w:spacing w:after="0" w:line="285"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2180" w:type="dxa"/>
            <w:vAlign w:val="bottom"/>
          </w:tcPr>
          <w:p>
            <w:pPr>
              <w:jc w:val="center"/>
              <w:ind w:right="48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0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001-40963</w:t>
            </w:r>
          </w:p>
        </w:tc>
        <w:tc>
          <w:tcPr>
            <w:tcW w:w="176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rPr>
              <w:t>47-3999983</w:t>
            </w:r>
          </w:p>
        </w:tc>
      </w:tr>
      <w:tr>
        <w:trPr>
          <w:trHeight w:val="149"/>
        </w:trPr>
        <w:tc>
          <w:tcPr>
            <w:tcW w:w="2180" w:type="dxa"/>
            <w:vAlign w:val="bottom"/>
          </w:tcPr>
          <w:p>
            <w:pPr>
              <w:jc w:val="center"/>
              <w:ind w:right="4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00" w:type="dxa"/>
            <w:vAlign w:val="bottom"/>
          </w:tcPr>
          <w:p>
            <w:pPr>
              <w:ind w:left="20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60" w:type="dxa"/>
            <w:vAlign w:val="bottom"/>
          </w:tcPr>
          <w:p>
            <w:pPr>
              <w:jc w:val="center"/>
              <w:ind w:left="5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80" w:type="dxa"/>
            <w:vAlign w:val="bottom"/>
          </w:tcPr>
          <w:p>
            <w:pPr>
              <w:jc w:val="center"/>
              <w:ind w:right="4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00" w:type="dxa"/>
            <w:vAlign w:val="bottom"/>
          </w:tcPr>
          <w:p>
            <w:pPr>
              <w:ind w:left="20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6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1"/>
        </w:trPr>
        <w:tc>
          <w:tcPr>
            <w:tcW w:w="2180" w:type="dxa"/>
            <w:vAlign w:val="bottom"/>
          </w:tcPr>
          <w:p>
            <w:pPr>
              <w:spacing w:after="0"/>
              <w:rPr>
                <w:sz w:val="24"/>
                <w:szCs w:val="24"/>
                <w:color w:val="auto"/>
              </w:rPr>
            </w:pPr>
          </w:p>
        </w:tc>
        <w:tc>
          <w:tcPr>
            <w:tcW w:w="500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530 Washington Street</w:t>
            </w:r>
          </w:p>
        </w:tc>
        <w:tc>
          <w:tcPr>
            <w:tcW w:w="1760" w:type="dxa"/>
            <w:vAlign w:val="bottom"/>
          </w:tcPr>
          <w:p>
            <w:pPr>
              <w:spacing w:after="0"/>
              <w:rPr>
                <w:sz w:val="24"/>
                <w:szCs w:val="24"/>
                <w:color w:val="auto"/>
              </w:rPr>
            </w:pPr>
          </w:p>
        </w:tc>
      </w:tr>
      <w:tr>
        <w:trPr>
          <w:trHeight w:val="178"/>
        </w:trPr>
        <w:tc>
          <w:tcPr>
            <w:tcW w:w="2180" w:type="dxa"/>
            <w:vAlign w:val="bottom"/>
          </w:tcPr>
          <w:p>
            <w:pPr>
              <w:spacing w:after="0"/>
              <w:rPr>
                <w:sz w:val="15"/>
                <w:szCs w:val="15"/>
                <w:color w:val="auto"/>
              </w:rPr>
            </w:pPr>
          </w:p>
        </w:tc>
        <w:tc>
          <w:tcPr>
            <w:tcW w:w="5000" w:type="dxa"/>
            <w:vAlign w:val="bottom"/>
          </w:tcPr>
          <w:p>
            <w:pPr>
              <w:jc w:val="center"/>
              <w:ind w:right="38"/>
              <w:spacing w:after="0" w:line="178" w:lineRule="exact"/>
              <w:rPr>
                <w:sz w:val="20"/>
                <w:szCs w:val="20"/>
                <w:color w:val="auto"/>
              </w:rPr>
            </w:pPr>
            <w:r>
              <w:rPr>
                <w:rFonts w:ascii="Times New Roman" w:cs="Times New Roman" w:eastAsia="Times New Roman" w:hAnsi="Times New Roman"/>
                <w:sz w:val="18"/>
                <w:szCs w:val="18"/>
                <w:b w:val="1"/>
                <w:bCs w:val="1"/>
                <w:color w:val="auto"/>
                <w:w w:val="99"/>
              </w:rPr>
              <w:t>San Francisco, CA 94111</w:t>
            </w:r>
          </w:p>
        </w:tc>
        <w:tc>
          <w:tcPr>
            <w:tcW w:w="1760" w:type="dxa"/>
            <w:vAlign w:val="bottom"/>
          </w:tcPr>
          <w:p>
            <w:pPr>
              <w:spacing w:after="0"/>
              <w:rPr>
                <w:sz w:val="15"/>
                <w:szCs w:val="15"/>
                <w:color w:val="auto"/>
              </w:rPr>
            </w:pPr>
          </w:p>
        </w:tc>
      </w:tr>
      <w:tr>
        <w:trPr>
          <w:trHeight w:val="190"/>
        </w:trPr>
        <w:tc>
          <w:tcPr>
            <w:tcW w:w="2180" w:type="dxa"/>
            <w:vAlign w:val="bottom"/>
          </w:tcPr>
          <w:p>
            <w:pPr>
              <w:spacing w:after="0"/>
              <w:rPr>
                <w:sz w:val="16"/>
                <w:szCs w:val="16"/>
                <w:color w:val="auto"/>
              </w:rPr>
            </w:pPr>
          </w:p>
        </w:tc>
        <w:tc>
          <w:tcPr>
            <w:tcW w:w="5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60" w:type="dxa"/>
            <w:vAlign w:val="bottom"/>
          </w:tcPr>
          <w:p>
            <w:pPr>
              <w:spacing w:after="0"/>
              <w:rPr>
                <w:sz w:val="16"/>
                <w:szCs w:val="16"/>
                <w:color w:val="auto"/>
              </w:rPr>
            </w:pPr>
          </w:p>
        </w:tc>
      </w:tr>
      <w:tr>
        <w:trPr>
          <w:trHeight w:val="377"/>
        </w:trPr>
        <w:tc>
          <w:tcPr>
            <w:tcW w:w="2180" w:type="dxa"/>
            <w:vAlign w:val="bottom"/>
          </w:tcPr>
          <w:p>
            <w:pPr>
              <w:spacing w:after="0"/>
              <w:rPr>
                <w:sz w:val="24"/>
                <w:szCs w:val="24"/>
                <w:color w:val="auto"/>
              </w:rPr>
            </w:pPr>
          </w:p>
        </w:tc>
        <w:tc>
          <w:tcPr>
            <w:tcW w:w="5000" w:type="dxa"/>
            <w:vAlign w:val="bottom"/>
          </w:tcPr>
          <w:p>
            <w:pPr>
              <w:jc w:val="right"/>
              <w:ind w:right="1918"/>
              <w:spacing w:after="0"/>
              <w:rPr>
                <w:sz w:val="20"/>
                <w:szCs w:val="20"/>
                <w:color w:val="auto"/>
              </w:rPr>
            </w:pPr>
            <w:r>
              <w:rPr>
                <w:rFonts w:ascii="Times New Roman" w:cs="Times New Roman" w:eastAsia="Times New Roman" w:hAnsi="Times New Roman"/>
                <w:sz w:val="18"/>
                <w:szCs w:val="18"/>
                <w:b w:val="1"/>
                <w:bCs w:val="1"/>
                <w:color w:val="auto"/>
              </w:rPr>
              <w:t>(628) 225-4848</w:t>
            </w:r>
          </w:p>
        </w:tc>
        <w:tc>
          <w:tcPr>
            <w:tcW w:w="1760" w:type="dxa"/>
            <w:vAlign w:val="bottom"/>
          </w:tcPr>
          <w:p>
            <w:pPr>
              <w:spacing w:after="0"/>
              <w:rPr>
                <w:sz w:val="24"/>
                <w:szCs w:val="24"/>
                <w:color w:val="auto"/>
              </w:rPr>
            </w:pPr>
          </w:p>
        </w:tc>
      </w:tr>
      <w:tr>
        <w:trPr>
          <w:trHeight w:val="190"/>
        </w:trPr>
        <w:tc>
          <w:tcPr>
            <w:tcW w:w="2180" w:type="dxa"/>
            <w:vAlign w:val="bottom"/>
          </w:tcPr>
          <w:p>
            <w:pPr>
              <w:spacing w:after="0"/>
              <w:rPr>
                <w:sz w:val="16"/>
                <w:szCs w:val="16"/>
                <w:color w:val="auto"/>
              </w:rPr>
            </w:pPr>
          </w:p>
        </w:tc>
        <w:tc>
          <w:tcPr>
            <w:tcW w:w="5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60" w:type="dxa"/>
            <w:vAlign w:val="bottom"/>
          </w:tcPr>
          <w:p>
            <w:pPr>
              <w:spacing w:after="0"/>
              <w:rPr>
                <w:sz w:val="16"/>
                <w:szCs w:val="16"/>
                <w:color w:val="auto"/>
              </w:rPr>
            </w:pPr>
          </w:p>
        </w:tc>
      </w:tr>
      <w:tr>
        <w:trPr>
          <w:trHeight w:val="280"/>
        </w:trPr>
        <w:tc>
          <w:tcPr>
            <w:tcW w:w="2180" w:type="dxa"/>
            <w:vAlign w:val="bottom"/>
          </w:tcPr>
          <w:p>
            <w:pPr>
              <w:spacing w:after="0"/>
              <w:rPr>
                <w:sz w:val="24"/>
                <w:szCs w:val="24"/>
                <w:color w:val="auto"/>
              </w:rPr>
            </w:pPr>
          </w:p>
        </w:tc>
        <w:tc>
          <w:tcPr>
            <w:tcW w:w="500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60" w:type="dxa"/>
            <w:vAlign w:val="bottom"/>
          </w:tcPr>
          <w:p>
            <w:pPr>
              <w:spacing w:after="0"/>
              <w:rPr>
                <w:sz w:val="24"/>
                <w:szCs w:val="24"/>
                <w:color w:val="auto"/>
              </w:rPr>
            </w:pPr>
          </w:p>
        </w:tc>
      </w:tr>
      <w:tr>
        <w:trPr>
          <w:trHeight w:val="190"/>
        </w:trPr>
        <w:tc>
          <w:tcPr>
            <w:tcW w:w="2180" w:type="dxa"/>
            <w:vAlign w:val="bottom"/>
          </w:tcPr>
          <w:p>
            <w:pPr>
              <w:spacing w:after="0"/>
              <w:rPr>
                <w:sz w:val="16"/>
                <w:szCs w:val="16"/>
                <w:color w:val="auto"/>
              </w:rPr>
            </w:pPr>
          </w:p>
        </w:tc>
        <w:tc>
          <w:tcPr>
            <w:tcW w:w="5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60" w:type="dxa"/>
            <w:vAlign w:val="bottom"/>
          </w:tcPr>
          <w:p>
            <w:pPr>
              <w:spacing w:after="0"/>
              <w:rPr>
                <w:sz w:val="16"/>
                <w:szCs w:val="16"/>
                <w:color w:val="auto"/>
              </w:rPr>
            </w:pPr>
          </w:p>
        </w:tc>
      </w:tr>
      <w:tr>
        <w:trPr>
          <w:trHeight w:val="431"/>
        </w:trPr>
        <w:tc>
          <w:tcPr>
            <w:tcW w:w="2180" w:type="dxa"/>
            <w:vAlign w:val="bottom"/>
          </w:tcPr>
          <w:p>
            <w:pPr>
              <w:spacing w:after="0"/>
              <w:rPr>
                <w:sz w:val="24"/>
                <w:szCs w:val="24"/>
                <w:color w:val="auto"/>
              </w:rPr>
            </w:pPr>
          </w:p>
        </w:tc>
        <w:tc>
          <w:tcPr>
            <w:tcW w:w="5000" w:type="dxa"/>
            <w:vAlign w:val="bottom"/>
          </w:tcPr>
          <w:p>
            <w:pPr>
              <w:jc w:val="right"/>
              <w:ind w:right="898"/>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1760" w:type="dxa"/>
            <w:vAlign w:val="bottom"/>
          </w:tcPr>
          <w:p>
            <w:pPr>
              <w:spacing w:after="0"/>
              <w:rPr>
                <w:sz w:val="24"/>
                <w:szCs w:val="24"/>
                <w:color w:val="auto"/>
              </w:rPr>
            </w:pPr>
          </w:p>
        </w:tc>
      </w:tr>
    </w:tbl>
    <w:p>
      <w:pPr>
        <w:spacing w:after="0" w:line="184" w:lineRule="exact"/>
        <w:rPr>
          <w:sz w:val="24"/>
          <w:szCs w:val="24"/>
          <w:color w:val="auto"/>
        </w:rPr>
      </w:pPr>
    </w:p>
    <w:p>
      <w:pPr>
        <w:ind w:right="20" w:firstLine="3"/>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3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ind w:left="360" w:hanging="352"/>
        <w:spacing w:after="0" w:line="203"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ind w:left="360" w:hanging="352"/>
        <w:spacing w:after="0" w:line="219"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32"/>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$0.0001 par value</w:t>
            </w:r>
          </w:p>
        </w:tc>
        <w:tc>
          <w:tcPr>
            <w:tcW w:w="16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BIRD</w:t>
            </w:r>
          </w:p>
        </w:tc>
        <w:tc>
          <w:tcPr>
            <w:tcW w:w="18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97" w:lineRule="exact"/>
        <w:rPr>
          <w:sz w:val="24"/>
          <w:szCs w:val="24"/>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7" w:lineRule="exact"/>
        <w:rPr>
          <w:sz w:val="24"/>
          <w:szCs w:val="24"/>
          <w:color w:val="auto"/>
        </w:rPr>
      </w:pPr>
    </w:p>
    <w:p>
      <w:pPr>
        <w:ind w:right="16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June 3, 2026, Allbirds, Inc. (the “Company”) held a Special Meeting of Stockholders (the “Special Meeting”). At the Special Meeting, the Company’s stockholders voted on the four proposals set forth below. A more detailed description of each proposal is set forth in the Company’s definitive proxy statement filed with the Securities and Exchange Commission on May 8, 2026.</w:t>
      </w:r>
    </w:p>
    <w:p>
      <w:pPr>
        <w:spacing w:after="0" w:line="200"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To approve the sale of the Purchased Assets of the Company (the “Asset Sale”) pursuant to the Asset Purchase Agreement dated March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 2026 (as it may be amended from time to time, the “Asset Purchase Agreement”), by and between Allbirds, Inc. and Allbirds IP LLC (the “Asset Sale Proposal”).</w:t>
      </w:r>
    </w:p>
    <w:p>
      <w:pPr>
        <w:spacing w:after="0" w:line="264" w:lineRule="exact"/>
        <w:rPr>
          <w:sz w:val="20"/>
          <w:szCs w:val="20"/>
          <w:color w:val="auto"/>
        </w:rPr>
      </w:pPr>
    </w:p>
    <w:tbl>
      <w:tblPr>
        <w:tblLayout w:type="fixed"/>
        <w:tblInd w:w="2000" w:type="dxa"/>
        <w:tblCellMar>
          <w:top w:w="0" w:type="dxa"/>
          <w:left w:w="0" w:type="dxa"/>
          <w:bottom w:w="0" w:type="dxa"/>
          <w:right w:w="0" w:type="dxa"/>
        </w:tblCellMar>
      </w:tblPr>
      <w:tr>
        <w:trPr>
          <w:trHeight w:val="190"/>
        </w:trPr>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3"/>
        </w:trPr>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28"/>
        </w:trPr>
        <w:tc>
          <w:tcPr>
            <w:tcW w:w="23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26,898,792</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28,059</w:t>
            </w:r>
          </w:p>
        </w:tc>
        <w:tc>
          <w:tcPr>
            <w:tcW w:w="100" w:type="dxa"/>
            <w:vAlign w:val="bottom"/>
            <w:shd w:val="clear" w:color="auto" w:fill="CCEEFF"/>
          </w:tcPr>
          <w:p>
            <w:pPr>
              <w:spacing w:after="0"/>
              <w:rPr>
                <w:sz w:val="19"/>
                <w:szCs w:val="19"/>
                <w:color w:val="auto"/>
              </w:rPr>
            </w:pPr>
          </w:p>
        </w:tc>
        <w:tc>
          <w:tcPr>
            <w:tcW w:w="25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8,162</w:t>
            </w:r>
          </w:p>
        </w:tc>
      </w:tr>
      <w:tr>
        <w:trPr>
          <w:trHeight w:val="22"/>
        </w:trPr>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r>
    </w:tbl>
    <w:p>
      <w:pPr>
        <w:spacing w:after="0" w:line="30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To approve an amendment to our Ninth Amended and Restated Certificate of Incorporation (as amended,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(the “Charter Amendment Proposal”).</w:t>
      </w:r>
    </w:p>
    <w:p>
      <w:pPr>
        <w:spacing w:after="0" w:line="200" w:lineRule="exact"/>
        <w:rPr>
          <w:sz w:val="20"/>
          <w:szCs w:val="20"/>
          <w:color w:val="auto"/>
        </w:rPr>
      </w:pPr>
    </w:p>
    <w:p>
      <w:pPr>
        <w:spacing w:after="0" w:line="289" w:lineRule="exact"/>
        <w:rPr>
          <w:sz w:val="20"/>
          <w:szCs w:val="20"/>
          <w:color w:val="auto"/>
        </w:rPr>
      </w:pPr>
    </w:p>
    <w:tbl>
      <w:tblPr>
        <w:tblLayout w:type="fixed"/>
        <w:tblInd w:w="2000" w:type="dxa"/>
        <w:tblCellMar>
          <w:top w:w="0" w:type="dxa"/>
          <w:left w:w="0" w:type="dxa"/>
          <w:bottom w:w="0" w:type="dxa"/>
          <w:right w:w="0" w:type="dxa"/>
        </w:tblCellMar>
      </w:tblPr>
      <w:tr>
        <w:trPr>
          <w:trHeight w:val="190"/>
        </w:trPr>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3"/>
        </w:trPr>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28"/>
        </w:trPr>
        <w:tc>
          <w:tcPr>
            <w:tcW w:w="23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26,898,660</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28,038</w:t>
            </w:r>
          </w:p>
        </w:tc>
        <w:tc>
          <w:tcPr>
            <w:tcW w:w="100" w:type="dxa"/>
            <w:vAlign w:val="bottom"/>
            <w:shd w:val="clear" w:color="auto" w:fill="CCEEFF"/>
          </w:tcPr>
          <w:p>
            <w:pPr>
              <w:spacing w:after="0"/>
              <w:rPr>
                <w:sz w:val="19"/>
                <w:szCs w:val="19"/>
                <w:color w:val="auto"/>
              </w:rPr>
            </w:pPr>
          </w:p>
        </w:tc>
        <w:tc>
          <w:tcPr>
            <w:tcW w:w="258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8,315</w:t>
            </w:r>
          </w:p>
        </w:tc>
      </w:tr>
      <w:tr>
        <w:trPr>
          <w:trHeight w:val="22"/>
        </w:trPr>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r>
    </w:tbl>
    <w:p>
      <w:pPr>
        <w:spacing w:after="0" w:line="30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Proposal No. 3: </w:t>
      </w:r>
      <w:r>
        <w:rPr>
          <w:rFonts w:ascii="Times New Roman" w:cs="Times New Roman" w:eastAsia="Times New Roman" w:hAnsi="Times New Roman"/>
          <w:sz w:val="18"/>
          <w:szCs w:val="18"/>
          <w:color w:val="auto"/>
        </w:rPr>
        <w:t>To approve, for purposes of complying with Nasdaq Listing Rule 5635(d), the issuance of shares of our Class A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representing more than 19.99% upon the conversion of certain Convertible Notes (the “Nasdaq Proposal”).</w:t>
      </w:r>
    </w:p>
    <w:p>
      <w:pPr>
        <w:spacing w:after="0" w:line="200" w:lineRule="exact"/>
        <w:rPr>
          <w:sz w:val="20"/>
          <w:szCs w:val="20"/>
          <w:color w:val="auto"/>
        </w:rPr>
      </w:pPr>
    </w:p>
    <w:p>
      <w:pPr>
        <w:spacing w:after="0" w:line="289" w:lineRule="exact"/>
        <w:rPr>
          <w:sz w:val="20"/>
          <w:szCs w:val="20"/>
          <w:color w:val="auto"/>
        </w:rPr>
      </w:pPr>
    </w:p>
    <w:tbl>
      <w:tblPr>
        <w:tblLayout w:type="fixed"/>
        <w:tblInd w:w="2000" w:type="dxa"/>
        <w:tblCellMar>
          <w:top w:w="0" w:type="dxa"/>
          <w:left w:w="0" w:type="dxa"/>
          <w:bottom w:w="0" w:type="dxa"/>
          <w:right w:w="0" w:type="dxa"/>
        </w:tblCellMar>
      </w:tblPr>
      <w:tr>
        <w:trPr>
          <w:trHeight w:val="190"/>
        </w:trPr>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3"/>
        </w:trPr>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28"/>
        </w:trPr>
        <w:tc>
          <w:tcPr>
            <w:tcW w:w="23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26,900,397</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29,335</w:t>
            </w:r>
          </w:p>
        </w:tc>
        <w:tc>
          <w:tcPr>
            <w:tcW w:w="100" w:type="dxa"/>
            <w:vAlign w:val="bottom"/>
            <w:shd w:val="clear" w:color="auto" w:fill="CCEEFF"/>
          </w:tcPr>
          <w:p>
            <w:pPr>
              <w:spacing w:after="0"/>
              <w:rPr>
                <w:sz w:val="19"/>
                <w:szCs w:val="19"/>
                <w:color w:val="auto"/>
              </w:rPr>
            </w:pPr>
          </w:p>
        </w:tc>
        <w:tc>
          <w:tcPr>
            <w:tcW w:w="258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5,281</w:t>
            </w:r>
          </w:p>
        </w:tc>
      </w:tr>
      <w:tr>
        <w:trPr>
          <w:trHeight w:val="22"/>
        </w:trPr>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r>
    </w:tbl>
    <w:p>
      <w:pPr>
        <w:spacing w:after="0" w:line="302"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Proposal No. 4: </w:t>
      </w:r>
      <w:r>
        <w:rPr>
          <w:rFonts w:ascii="Times New Roman" w:cs="Times New Roman" w:eastAsia="Times New Roman" w:hAnsi="Times New Roman"/>
          <w:sz w:val="18"/>
          <w:szCs w:val="18"/>
          <w:color w:val="auto"/>
        </w:rPr>
        <w:t>To approve one or more adjournments of the Special Meeting from time to time, if necessary, to solicit additional proxies in the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there are insufficient shares present virtually or represented by proxy voting in favor of the proposals presented at the meeting (the “Adjournment Proposal”).</w:t>
      </w:r>
    </w:p>
    <w:p>
      <w:pPr>
        <w:spacing w:after="0" w:line="200" w:lineRule="exact"/>
        <w:rPr>
          <w:sz w:val="20"/>
          <w:szCs w:val="20"/>
          <w:color w:val="auto"/>
        </w:rPr>
      </w:pPr>
    </w:p>
    <w:p>
      <w:pPr>
        <w:spacing w:after="0" w:line="307" w:lineRule="exact"/>
        <w:rPr>
          <w:sz w:val="20"/>
          <w:szCs w:val="20"/>
          <w:color w:val="auto"/>
        </w:rPr>
      </w:pPr>
    </w:p>
    <w:tbl>
      <w:tblPr>
        <w:tblLayout w:type="fixed"/>
        <w:tblInd w:w="2000" w:type="dxa"/>
        <w:tblCellMar>
          <w:top w:w="0" w:type="dxa"/>
          <w:left w:w="0" w:type="dxa"/>
          <w:bottom w:w="0" w:type="dxa"/>
          <w:right w:w="0" w:type="dxa"/>
        </w:tblCellMar>
      </w:tblPr>
      <w:tr>
        <w:trPr>
          <w:trHeight w:val="190"/>
        </w:trPr>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3"/>
        </w:trPr>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28"/>
        </w:trPr>
        <w:tc>
          <w:tcPr>
            <w:tcW w:w="23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26,897,516</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28,000</w:t>
            </w:r>
          </w:p>
        </w:tc>
        <w:tc>
          <w:tcPr>
            <w:tcW w:w="100" w:type="dxa"/>
            <w:vAlign w:val="bottom"/>
            <w:shd w:val="clear" w:color="auto" w:fill="CCEEFF"/>
          </w:tcPr>
          <w:p>
            <w:pPr>
              <w:spacing w:after="0"/>
              <w:rPr>
                <w:sz w:val="19"/>
                <w:szCs w:val="19"/>
                <w:color w:val="auto"/>
              </w:rPr>
            </w:pPr>
          </w:p>
        </w:tc>
        <w:tc>
          <w:tcPr>
            <w:tcW w:w="258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9,497</w:t>
            </w:r>
          </w:p>
        </w:tc>
      </w:tr>
      <w:tr>
        <w:trPr>
          <w:trHeight w:val="22"/>
        </w:trPr>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votes, each of the proposals were approved.</w:t>
      </w:r>
    </w:p>
    <w:p>
      <w:pPr>
        <w:spacing w:after="0" w:line="23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9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r>
        <w:trPr>
          <w:trHeight w:val="1258"/>
        </w:trPr>
        <w:tc>
          <w:tcPr>
            <w:tcW w:w="1380" w:type="dxa"/>
            <w:vAlign w:val="bottom"/>
            <w:tcBorders>
              <w:bottom w:val="single" w:sz="8" w:color="9A9A9A"/>
            </w:tcBorders>
          </w:tcPr>
          <w:p>
            <w:pPr>
              <w:spacing w:after="0"/>
              <w:rPr>
                <w:sz w:val="24"/>
                <w:szCs w:val="24"/>
                <w:color w:val="auto"/>
              </w:rPr>
            </w:pPr>
          </w:p>
        </w:tc>
        <w:tc>
          <w:tcPr>
            <w:tcW w:w="9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Dated: June 4, 2026</w:t>
      </w:r>
    </w:p>
    <w:p>
      <w:pPr>
        <w:spacing w:after="0" w:line="23" w:lineRule="exact"/>
        <w:rPr>
          <w:sz w:val="20"/>
          <w:szCs w:val="20"/>
          <w:color w:val="auto"/>
        </w:rPr>
      </w:pPr>
    </w:p>
    <w:p>
      <w:pPr>
        <w:ind w:left="5340"/>
        <w:spacing w:after="0"/>
        <w:tabs>
          <w:tab w:leader="none" w:pos="5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Vernachio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Joseph Vernachio</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1220"/>
      </w:cols>
      <w:pgMar w:left="320" w:top="9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2026-06-04T15:11:16Z</dcterms:created>
  <dcterms:modified xsi:type="dcterms:W3CDTF">2026-06-04T15:11:16Z</dcterms:modified>
</cp:coreProperties>
</file>