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ird20260929_8k.htm"/>
      <w:bookmarkStart w:id="1" w:name="ksbird2026092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30, 2026</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Smartbird,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40"/>
        <w:gridCol w:w="800"/>
        <w:gridCol w:w="890"/>
      </w:tblGrid>
      <w:tr>
        <w:trPr/>
        <w:tc>
          <w:tcPr>
            <w:tcW w:w="7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001-40963</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47-3999983</w:t>
            </w:r>
          </w:p>
        </w:tc>
      </w:tr>
    </w:tbl>
    <w:tbl>
      <w:tblPr>
        <w:tblW w:w="3525" w:type="dxa"/>
        <w:jc w:val="left"/>
        <w:tblInd w:w="0" w:type="dxa"/>
        <w:tblLayout w:type="fixed"/>
        <w:tblCellMar>
          <w:top w:w="0" w:type="dxa"/>
          <w:left w:w="0" w:type="dxa"/>
          <w:bottom w:w="0" w:type="dxa"/>
          <w:right w:w="0" w:type="dxa"/>
        </w:tblCellMar>
      </w:tblPr>
      <w:tblGrid>
        <w:gridCol w:w="1610"/>
        <w:gridCol w:w="800"/>
        <w:gridCol w:w="1115"/>
      </w:tblGrid>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(State or other jurisdiction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(Commission</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(IRS Employer</w:t>
            </w:r>
          </w:p>
        </w:tc>
      </w:tr>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of incorporation)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File Number)</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Identification No.)</w:t>
            </w:r>
          </w:p>
        </w:tc>
      </w:tr>
    </w:tbl>
    <w:p>
      <w:pPr>
        <w:pStyle w:val="TextBody"/>
        <w:bidi w:val="0"/>
        <w:spacing w:before="0" w:after="0"/>
        <w:jc w:val="left"/>
        <w:rPr/>
      </w:pPr>
      <w:r>
        <w:rPr/>
        <w:t> </w:t>
      </w:r>
    </w:p>
    <w:tbl>
      <w:tblPr>
        <w:tblW w:w="3470" w:type="dxa"/>
        <w:jc w:val="left"/>
        <w:tblInd w:w="0" w:type="dxa"/>
        <w:tblLayout w:type="fixed"/>
        <w:tblCellMar>
          <w:top w:w="0" w:type="dxa"/>
          <w:left w:w="0" w:type="dxa"/>
          <w:bottom w:w="0" w:type="dxa"/>
          <w:right w:w="0" w:type="dxa"/>
        </w:tblCellMar>
      </w:tblPr>
      <w:tblGrid>
        <w:gridCol w:w="3470"/>
      </w:tblGrid>
      <w:tr>
        <w:trPr/>
        <w:tc>
          <w:tcPr>
            <w:tcW w:w="34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425 Page Mill Rd.</w:t>
            </w:r>
            <w:r>
              <w:rPr>
                <w:rFonts w:ascii="Times New Roman" w:hAnsi="Times New Roman"/>
                <w:caps w:val="false"/>
                <w:smallCaps w:val="false"/>
                <w:sz w:val="20"/>
              </w:rPr>
              <w:t> </w:t>
              <w:br/>
            </w:r>
            <w:r>
              <w:rPr>
                <w:rFonts w:ascii="Times New Roman" w:hAnsi="Times New Roman"/>
                <w:b/>
                <w:caps w:val="false"/>
                <w:smallCaps w:val="false"/>
                <w:sz w:val="20"/>
              </w:rPr>
              <w:t>Suite 200</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Palo Alto, CA94306</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(Address of principal executive offices, including zip code)</w:t>
            </w:r>
          </w:p>
        </w:tc>
      </w:tr>
      <w:tr>
        <w:trPr/>
        <w:tc>
          <w:tcPr>
            <w:tcW w:w="3470" w:type="dxa"/>
            <w:tcBorders/>
            <w:vAlign w:val="center"/>
          </w:tcPr>
          <w:p>
            <w:pPr>
              <w:pStyle w:val="TableContents"/>
              <w:bidi w:val="0"/>
              <w:spacing w:before="0" w:after="0"/>
              <w:ind w:left="0" w:right="0" w:hanging="0"/>
              <w:jc w:val="left"/>
              <w:rPr/>
            </w:pPr>
            <w:r>
              <w:rPr/>
              <w:t> </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(628) 225-4848</w:t>
            </w:r>
          </w:p>
        </w:tc>
      </w:tr>
      <w:tr>
        <w:trPr/>
        <w:tc>
          <w:tcPr>
            <w:tcW w:w="3470" w:type="dxa"/>
            <w:tcBorders/>
            <w:vAlign w:val="center"/>
          </w:tcPr>
          <w:p>
            <w:pPr>
              <w:pStyle w:val="TableContents"/>
              <w:bidi w:val="0"/>
              <w:spacing w:before="0" w:after="0"/>
              <w:ind w:left="0" w:right="0" w:hanging="0"/>
              <w:jc w:val="center"/>
              <w:rPr>
                <w:rFonts w:ascii="Times New Roman" w:hAnsi="Times New Roman"/>
                <w:caps w:val="false"/>
                <w:smallCaps w:val="false"/>
                <w:sz w:val="14"/>
              </w:rPr>
            </w:pPr>
            <w:r>
              <w:rPr>
                <w:rFonts w:ascii="Times New Roman" w:hAnsi="Times New Roman"/>
                <w:b/>
                <w:caps w:val="false"/>
                <w:smallCaps w:val="false"/>
                <w:sz w:val="14"/>
              </w:rPr>
              <w:t>(Registrant</w:t>
            </w:r>
            <w:r>
              <w:rPr>
                <w:rFonts w:ascii="Times New Roman" w:hAnsi="Times New Roman"/>
                <w:caps w:val="false"/>
                <w:smallCaps w:val="false"/>
                <w:sz w:val="14"/>
              </w:rPr>
              <w:t>’</w:t>
            </w:r>
            <w:r>
              <w:rPr>
                <w:rFonts w:ascii="Times New Roman" w:hAnsi="Times New Roman"/>
                <w:b/>
                <w:caps w:val="false"/>
                <w:smallCaps w:val="false"/>
                <w:sz w:val="14"/>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Written communications pursuant to Rule 425 under the Securities Act (17 CFR 230.425)</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Soliciting material pursuant to Rule 14a-12 under the Exchange Act (17 CFR 240.14a-12)</w:t>
            </w:r>
          </w:p>
        </w:tc>
      </w:tr>
    </w:tbl>
    <w:tbl>
      <w:tblPr>
        <w:tblW w:w="8260" w:type="dxa"/>
        <w:jc w:val="left"/>
        <w:tblInd w:w="0" w:type="dxa"/>
        <w:tblLayout w:type="fixed"/>
        <w:tblCellMar>
          <w:top w:w="0" w:type="dxa"/>
          <w:left w:w="0" w:type="dxa"/>
          <w:bottom w:w="0" w:type="dxa"/>
          <w:right w:w="0" w:type="dxa"/>
        </w:tblCellMar>
      </w:tblPr>
      <w:tblGrid>
        <w:gridCol w:w="60"/>
        <w:gridCol w:w="230"/>
        <w:gridCol w:w="797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14d-2(b) under the Exchange Act (17 CFR 240.14d-2(b))</w:t>
            </w:r>
          </w:p>
        </w:tc>
      </w:tr>
    </w:tbl>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3215"/>
        <w:gridCol w:w="60"/>
        <w:gridCol w:w="551"/>
        <w:gridCol w:w="68"/>
        <w:gridCol w:w="2480"/>
      </w:tblGrid>
      <w:tr>
        <w:trPr/>
        <w:tc>
          <w:tcPr>
            <w:tcW w:w="32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Trading</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Name of each exchange</w:t>
            </w:r>
          </w:p>
        </w:tc>
      </w:tr>
      <w:tr>
        <w:trPr/>
        <w:tc>
          <w:tcPr>
            <w:tcW w:w="32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Title of each class</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Symbol(s)</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on which registered</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Class A common stock, $0.0001 par value</w:t>
            </w:r>
          </w:p>
        </w:tc>
        <w:tc>
          <w:tcPr>
            <w:tcW w:w="60"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BIRD</w:t>
            </w:r>
          </w:p>
        </w:tc>
        <w:tc>
          <w:tcPr>
            <w:tcW w:w="68" w:type="dxa"/>
            <w:tcBorders/>
            <w:vAlign w:val="center"/>
          </w:tcPr>
          <w:p>
            <w:pPr>
              <w:pStyle w:val="TableContents"/>
              <w:bidi w:val="0"/>
              <w:spacing w:before="0" w:after="0"/>
              <w:ind w:left="0" w:right="0" w:hanging="0"/>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The Nasdaq</w:t>
            </w:r>
            <w:r>
              <w:rPr>
                <w:rFonts w:ascii="Times New Roman" w:hAnsi="Times New Roman"/>
                <w:caps w:val="false"/>
                <w:smallCaps w:val="false"/>
                <w:sz w:val="20"/>
              </w:rPr>
              <w:t> </w:t>
            </w:r>
            <w:r>
              <w:rPr>
                <w:rFonts w:ascii="Times New Roman" w:hAnsi="Times New Roman"/>
                <w:b/>
                <w:caps w:val="false"/>
                <w:smallCaps w:val="false"/>
                <w:sz w:val="18"/>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Emerging growth company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Item 5.07 Submission of Matters to a Vote of Security Holders.</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On September 30, 2026, Smartbird, Inc. (the “Company”) held its Annual Meeting of Stockholders (the “Annual Meeting”). At the Annual Meeting, the Company’s stockholders voted on the five proposals set forth below. A more detailed description of each proposal is set forth in the Company’s definitive proxy statement filed with the Securities and Exchange Commission on August 11,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 xml:space="preserve">Proposal No. 1: </w:t>
      </w:r>
      <w:r>
        <w:rPr>
          <w:rFonts w:ascii="Times New Roman" w:hAnsi="Times New Roman"/>
          <w:caps w:val="false"/>
          <w:smallCaps w:val="false"/>
          <w:sz w:val="18"/>
        </w:rPr>
        <w:t xml:space="preserve">To approve the election of the Class II directors to hold office until the 2029 Annual Meeting of Stockholders. </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28" w:type="dxa"/>
          <w:right w:w="0" w:type="dxa"/>
        </w:tblCellMar>
      </w:tblPr>
      <w:tblGrid>
        <w:gridCol w:w="1381"/>
        <w:gridCol w:w="146"/>
        <w:gridCol w:w="1036"/>
        <w:gridCol w:w="146"/>
        <w:gridCol w:w="931"/>
      </w:tblGrid>
      <w:tr>
        <w:trPr/>
        <w:tc>
          <w:tcPr>
            <w:tcW w:w="138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Director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For</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Withheld</w:t>
            </w:r>
          </w:p>
        </w:tc>
      </w:tr>
      <w:tr>
        <w:trPr/>
        <w:tc>
          <w:tcPr>
            <w:tcW w:w="138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Daniel Kasun</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03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24,767,216</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93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35,207</w:t>
            </w:r>
          </w:p>
        </w:tc>
      </w:tr>
      <w:tr>
        <w:trPr/>
        <w:tc>
          <w:tcPr>
            <w:tcW w:w="138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Elizabeth Mora</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03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24,766,024</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93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36,399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 xml:space="preserve">Proposal No. 2: </w:t>
      </w:r>
      <w:r>
        <w:rPr>
          <w:rFonts w:ascii="Times New Roman" w:hAnsi="Times New Roman"/>
          <w:caps w:val="false"/>
          <w:smallCaps w:val="false"/>
          <w:sz w:val="18"/>
        </w:rPr>
        <w:t xml:space="preserve">To approve an amendment to the Company’s 2021 Equity Incentive Plan (the “2021 Plan”) to increase the number of shares authorized for issuance under the plan.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1051"/>
        <w:gridCol w:w="146"/>
        <w:gridCol w:w="1261"/>
        <w:gridCol w:w="146"/>
        <w:gridCol w:w="991"/>
      </w:tblGrid>
      <w:tr>
        <w:trPr/>
        <w:tc>
          <w:tcPr>
            <w:tcW w:w="105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For</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Against</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Abstained</w:t>
            </w:r>
          </w:p>
        </w:tc>
      </w:tr>
      <w:tr>
        <w:trPr/>
        <w:tc>
          <w:tcPr>
            <w:tcW w:w="10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18,378,187</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946,000</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5,478,236</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b/>
          <w:caps w:val="false"/>
          <w:smallCaps w:val="false"/>
          <w:sz w:val="18"/>
        </w:rPr>
        <w:t xml:space="preserve">Proposal No. 3: </w:t>
      </w:r>
      <w:r>
        <w:rPr>
          <w:rFonts w:ascii="Times New Roman" w:hAnsi="Times New Roman"/>
          <w:caps w:val="false"/>
          <w:smallCaps w:val="false"/>
          <w:sz w:val="18"/>
        </w:rPr>
        <w:t>To approve, for purposes of complying with Nasdaq Listing Rule 5635(d), of the issuance of shares of our Class A common stock representing more than 19.99% upon the conversion of certain Convertible Notes.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1051"/>
        <w:gridCol w:w="146"/>
        <w:gridCol w:w="1261"/>
        <w:gridCol w:w="146"/>
        <w:gridCol w:w="991"/>
      </w:tblGrid>
      <w:tr>
        <w:trPr/>
        <w:tc>
          <w:tcPr>
            <w:tcW w:w="105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For</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Against</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Abstained</w:t>
            </w:r>
          </w:p>
        </w:tc>
      </w:tr>
      <w:tr>
        <w:trPr/>
        <w:tc>
          <w:tcPr>
            <w:tcW w:w="10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24,725,914</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72,874</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3,635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 xml:space="preserve">Proposal No. 4: </w:t>
      </w:r>
      <w:r>
        <w:rPr>
          <w:rFonts w:ascii="Times New Roman" w:hAnsi="Times New Roman"/>
          <w:caps w:val="false"/>
          <w:smallCaps w:val="false"/>
          <w:sz w:val="18"/>
        </w:rPr>
        <w:t xml:space="preserve">To ratify the selection of BPM LLP as the Company’s independent registered public accounting firm for the fiscal year ending December 31, 2026.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1051"/>
        <w:gridCol w:w="146"/>
        <w:gridCol w:w="1261"/>
        <w:gridCol w:w="146"/>
        <w:gridCol w:w="991"/>
      </w:tblGrid>
      <w:tr>
        <w:trPr/>
        <w:tc>
          <w:tcPr>
            <w:tcW w:w="105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For</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Against</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Abstained</w:t>
            </w:r>
          </w:p>
        </w:tc>
      </w:tr>
      <w:tr>
        <w:trPr/>
        <w:tc>
          <w:tcPr>
            <w:tcW w:w="10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27,601,747</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92,479</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305,413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 xml:space="preserve">Proposal No. 5: </w:t>
      </w:r>
      <w:r>
        <w:rPr>
          <w:rFonts w:ascii="Times New Roman" w:hAnsi="Times New Roman"/>
          <w:caps w:val="false"/>
          <w:smallCaps w:val="false"/>
          <w:sz w:val="18"/>
        </w:rPr>
        <w:t xml:space="preserve">To approve of one or more adjournments of the Annual Meeting from time to time, if necessary, to solicit additional proxies in the event that there are insufficient shares present virtually or represented by proxy voting in favor of the proposals presented at the meeting. </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1051"/>
        <w:gridCol w:w="146"/>
        <w:gridCol w:w="1261"/>
        <w:gridCol w:w="146"/>
        <w:gridCol w:w="991"/>
      </w:tblGrid>
      <w:tr>
        <w:trPr/>
        <w:tc>
          <w:tcPr>
            <w:tcW w:w="105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For</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Votes Against</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Abstained</w:t>
            </w:r>
          </w:p>
        </w:tc>
      </w:tr>
      <w:tr>
        <w:trPr/>
        <w:tc>
          <w:tcPr>
            <w:tcW w:w="10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26,605,116</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126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1,352,622</w:t>
            </w:r>
          </w:p>
        </w:tc>
        <w:tc>
          <w:tcPr>
            <w:tcW w:w="146" w:type="dxa"/>
            <w:tcBorders/>
            <w:tcMar>
              <w:top w:w="28" w:type="dxa"/>
              <w:left w:w="28" w:type="dxa"/>
              <w:right w:w="28" w:type="dxa"/>
            </w:tcMar>
            <w:vAlign w:val="center"/>
          </w:tcPr>
          <w:p>
            <w:pPr>
              <w:pStyle w:val="TableContents"/>
              <w:bidi w:val="0"/>
              <w:spacing w:before="0" w:after="0"/>
              <w:ind w:left="0" w:right="0" w:hanging="0"/>
              <w:jc w:val="center"/>
              <w:rPr/>
            </w:pPr>
            <w:r>
              <w:rPr/>
              <w:t> </w:t>
            </w:r>
          </w:p>
        </w:tc>
        <w:tc>
          <w:tcPr>
            <w:tcW w:w="99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41,901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32" w:type="dxa"/>
        <w:jc w:val="left"/>
        <w:tblInd w:w="0" w:type="dxa"/>
        <w:tblLayout w:type="fixed"/>
        <w:tblCellMar>
          <w:top w:w="28" w:type="dxa"/>
          <w:left w:w="28" w:type="dxa"/>
          <w:bottom w:w="28" w:type="dxa"/>
          <w:right w:w="28" w:type="dxa"/>
        </w:tblCellMar>
      </w:tblPr>
      <w:tblGrid>
        <w:gridCol w:w="841"/>
        <w:gridCol w:w="2791"/>
      </w:tblGrid>
      <w:tr>
        <w:trPr/>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Item</w:t>
            </w:r>
            <w:r>
              <w:rPr>
                <w:rFonts w:ascii="Times New Roman" w:hAnsi="Times New Roman"/>
                <w:caps w:val="false"/>
                <w:smallCaps w:val="false"/>
                <w:sz w:val="18"/>
              </w:rPr>
              <w:t> </w:t>
            </w:r>
            <w:r>
              <w:rPr>
                <w:rFonts w:ascii="Times New Roman" w:hAnsi="Times New Roman"/>
                <w:b/>
                <w:caps w:val="false"/>
                <w:smallCaps w:val="false"/>
                <w:sz w:val="18"/>
              </w:rPr>
              <w:t>9.01</w:t>
            </w:r>
          </w:p>
        </w:tc>
        <w:tc>
          <w:tcPr>
            <w:tcW w:w="2791"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Statements and Exhibits</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caps w:val="false"/>
          <w:smallCaps w:val="false"/>
          <w:sz w:val="18"/>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568" w:type="dxa"/>
        <w:jc w:val="left"/>
        <w:tblInd w:w="0" w:type="dxa"/>
        <w:tblLayout w:type="fixed"/>
        <w:tblCellMar>
          <w:top w:w="28" w:type="dxa"/>
          <w:left w:w="28" w:type="dxa"/>
          <w:bottom w:w="28" w:type="dxa"/>
          <w:right w:w="28" w:type="dxa"/>
        </w:tblCellMar>
      </w:tblPr>
      <w:tblGrid>
        <w:gridCol w:w="631"/>
        <w:gridCol w:w="146"/>
        <w:gridCol w:w="5791"/>
      </w:tblGrid>
      <w:tr>
        <w:trPr/>
        <w:tc>
          <w:tcPr>
            <w:tcW w:w="63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Exhibit</w:t>
            </w:r>
          </w:p>
        </w:tc>
        <w:tc>
          <w:tcPr>
            <w:tcW w:w="146" w:type="dxa"/>
            <w:tcBorders/>
            <w:vAlign w:val="center"/>
          </w:tcPr>
          <w:p>
            <w:pPr>
              <w:pStyle w:val="TableContents"/>
              <w:bidi w:val="0"/>
              <w:spacing w:before="0" w:after="0"/>
              <w:ind w:left="0" w:right="0" w:hanging="0"/>
              <w:jc w:val="left"/>
              <w:rPr/>
            </w:pPr>
            <w:r>
              <w:rPr/>
              <w:t> </w:t>
            </w:r>
          </w:p>
        </w:tc>
        <w:tc>
          <w:tcPr>
            <w:tcW w:w="579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Description</w:t>
            </w:r>
          </w:p>
        </w:tc>
      </w:tr>
      <w:tr>
        <w:trPr/>
        <w:tc>
          <w:tcPr>
            <w:tcW w:w="63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99.1</w:t>
            </w:r>
          </w:p>
        </w:tc>
        <w:tc>
          <w:tcPr>
            <w:tcW w:w="146" w:type="dxa"/>
            <w:tcBorders/>
            <w:vAlign w:val="center"/>
          </w:tcPr>
          <w:p>
            <w:pPr>
              <w:pStyle w:val="TableContents"/>
              <w:bidi w:val="0"/>
              <w:spacing w:before="0" w:after="0"/>
              <w:ind w:left="0" w:right="0" w:hanging="0"/>
              <w:jc w:val="left"/>
              <w:rPr/>
            </w:pPr>
            <w:r>
              <w:rPr/>
              <w:t> </w:t>
            </w:r>
          </w:p>
        </w:tc>
        <w:tc>
          <w:tcPr>
            <w:tcW w:w="5791" w:type="dxa"/>
            <w:tcBorders/>
            <w:vAlign w:val="center"/>
          </w:tcPr>
          <w:p>
            <w:pPr>
              <w:pStyle w:val="TableContents"/>
              <w:bidi w:val="0"/>
              <w:spacing w:before="0" w:after="0"/>
              <w:ind w:left="0" w:right="0" w:hanging="0"/>
              <w:jc w:val="left"/>
              <w:rPr/>
            </w:pPr>
            <w:hyperlink w:anchor="ex_1021308.htm">
              <w:r>
                <w:rPr>
                  <w:rStyle w:val="InternetLink"/>
                  <w:rFonts w:ascii="Times New Roman" w:hAnsi="Times New Roman"/>
                  <w:caps w:val="false"/>
                  <w:smallCaps w:val="false"/>
                  <w:sz w:val="18"/>
                </w:rPr>
                <w:t>Final Report of the Inspector of Election</w:t>
              </w:r>
            </w:hyperlink>
          </w:p>
        </w:tc>
      </w:tr>
      <w:tr>
        <w:trPr/>
        <w:tc>
          <w:tcPr>
            <w:tcW w:w="631"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104</w:t>
            </w:r>
          </w:p>
        </w:tc>
        <w:tc>
          <w:tcPr>
            <w:tcW w:w="146" w:type="dxa"/>
            <w:tcBorders/>
            <w:vAlign w:val="center"/>
          </w:tcPr>
          <w:p>
            <w:pPr>
              <w:pStyle w:val="TableContents"/>
              <w:bidi w:val="0"/>
              <w:spacing w:before="0" w:after="0"/>
              <w:ind w:left="0" w:right="0" w:hanging="0"/>
              <w:jc w:val="left"/>
              <w:rPr/>
            </w:pPr>
            <w:r>
              <w:rPr/>
              <w:t> </w:t>
            </w:r>
          </w:p>
        </w:tc>
        <w:tc>
          <w:tcPr>
            <w:tcW w:w="5791"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Pursuant to the requirements of the Securities Exchange Act of 1934, as amended, the Registrant has duly caused this report to be signed on its behalf by the undersigned hereunto duly authorized.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3720" w:type="dxa"/>
        <w:jc w:val="left"/>
        <w:tblInd w:w="0" w:type="dxa"/>
        <w:tblLayout w:type="fixed"/>
        <w:tblCellMar>
          <w:top w:w="0" w:type="dxa"/>
          <w:left w:w="0" w:type="dxa"/>
          <w:bottom w:w="0" w:type="dxa"/>
          <w:right w:w="0" w:type="dxa"/>
        </w:tblCellMar>
      </w:tblPr>
      <w:tblGrid>
        <w:gridCol w:w="1685"/>
        <w:gridCol w:w="275"/>
        <w:gridCol w:w="1700"/>
        <w:gridCol w:w="60"/>
      </w:tblGrid>
      <w:tr>
        <w:trPr/>
        <w:tc>
          <w:tcPr>
            <w:tcW w:w="1685" w:type="dxa"/>
            <w:tcBorders/>
            <w:vAlign w:val="center"/>
          </w:tcPr>
          <w:p>
            <w:pPr>
              <w:pStyle w:val="TableContents"/>
              <w:bidi w:val="0"/>
              <w:spacing w:before="0" w:after="0"/>
              <w:ind w:left="0" w:right="0" w:hanging="0"/>
              <w:jc w:val="left"/>
              <w:rPr/>
            </w:pPr>
            <w:r>
              <w:rPr/>
              <w:t> </w:t>
            </w:r>
          </w:p>
        </w:tc>
        <w:tc>
          <w:tcPr>
            <w:tcW w:w="1975" w:type="dxa"/>
            <w:gridSpan w:val="2"/>
            <w:tcBorders/>
          </w:tcPr>
          <w:p>
            <w:pPr>
              <w:pStyle w:val="TableContents"/>
              <w:bidi w:val="0"/>
              <w:spacing w:before="0" w:after="0"/>
              <w:jc w:val="left"/>
              <w:rPr>
                <w:rFonts w:ascii="Times New Roman" w:hAnsi="Times New Roman"/>
                <w:b/>
                <w:sz w:val="18"/>
              </w:rPr>
            </w:pPr>
            <w:r>
              <w:rPr>
                <w:rFonts w:ascii="Times New Roman" w:hAnsi="Times New Roman"/>
                <w:b/>
                <w:sz w:val="18"/>
              </w:rPr>
              <w:t>Smartbird, Inc.</w:t>
            </w:r>
          </w:p>
        </w:tc>
        <w:tc>
          <w:tcPr>
            <w:tcW w:w="60"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Dated: October 1, 2026</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pPr>
            <w:r>
              <w:rPr/>
              <w:t> </w:t>
            </w:r>
          </w:p>
        </w:tc>
        <w:tc>
          <w:tcPr>
            <w:tcW w:w="275" w:type="dxa"/>
            <w:tcBorders/>
          </w:tcPr>
          <w:p>
            <w:pPr>
              <w:pStyle w:val="TableContents"/>
              <w:bidi w:val="0"/>
              <w:spacing w:before="0" w:after="0"/>
              <w:jc w:val="left"/>
              <w:rPr>
                <w:rFonts w:ascii="Times New Roman" w:hAnsi="Times New Roman"/>
                <w:sz w:val="18"/>
              </w:rPr>
            </w:pPr>
            <w:r>
              <w:rPr>
                <w:rFonts w:ascii="Times New Roman" w:hAnsi="Times New Roman"/>
                <w:sz w:val="18"/>
              </w:rPr>
              <w:t>By:</w:t>
            </w:r>
          </w:p>
        </w:tc>
        <w:tc>
          <w:tcPr>
            <w:tcW w:w="170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/s/ Nadia Carlsten</w:t>
            </w:r>
          </w:p>
        </w:tc>
        <w:tc>
          <w:tcPr>
            <w:tcW w:w="60"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Nadia Carlsten</w:t>
            </w:r>
          </w:p>
        </w:tc>
        <w:tc>
          <w:tcPr>
            <w:tcW w:w="60"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 w:name="ex_1021308.htm"/>
      <w:bookmarkStart w:id="5" w:name="ksex_1021308"/>
      <w:bookmarkEnd w:id="4"/>
      <w:bookmarkEnd w:id="5"/>
      <w:r>
        <w:rPr>
          <w:rFonts w:ascii="Times New Roman" w:hAnsi="Times New Roman"/>
          <w:caps w:val="false"/>
          <w:smallCaps w:val="false"/>
          <w:sz w:val="20"/>
        </w:rPr>
        <w:t>Smartbird, Inc.</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Annual Meeting of Stockholders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u w:val="single"/>
        </w:rPr>
        <w:t>Final Report of the Inspector of Election</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I, the undersigned, the duly appointed Inspector of Election at the Annual Meeting of Stockholders (the “Meeting”) of Smartbird, Inc., (the “Company”), held on September 30, 2026,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    Before entering upon the discharge of my duties as Inspector of Election at the Meeting, I took and signed an Oath of Inspector of Election.</w:t>
        <w:br/>
        <w:br/>
        <w:t xml:space="preserve">2)    The Meeting was held virtually at </w:t>
      </w:r>
      <w:r>
        <w:rPr>
          <w:rFonts w:ascii="Times New Roman" w:hAnsi="Times New Roman"/>
          <w:i/>
          <w:caps w:val="false"/>
          <w:smallCaps w:val="false"/>
          <w:sz w:val="20"/>
        </w:rPr>
        <w:t>www.virtualshareholdermeeting.com/BIRD2026</w:t>
      </w:r>
      <w:r>
        <w:rPr>
          <w:rFonts w:ascii="Times New Roman" w:hAnsi="Times New Roman"/>
          <w:caps w:val="false"/>
          <w:smallCaps w:val="false"/>
          <w:sz w:val="20"/>
        </w:rPr>
        <w:t>, pursuant to notice duly given.</w:t>
        <w:br/>
        <w:br/>
        <w:t>3)    At the close of business on August 6, 2026, the record date for the determination of stockholders entitled to vote at the Meeting, there were 9,315,794 shares of the Company’s Class A Common Stock, each share being entitled to one vote, and 2,493,399 shares of Class B Common Stock outstanding, each share being entitled to ten votes, constituting all of the outstanding voting securities of the Company.</w:t>
        <w:br/>
        <w:br/>
        <w:t>4)    At the Meeting, the holders of 27,999,639 votes of the voting power of the Company’s Common Stock are represented in person or by proxy constituting a quorum.</w:t>
        <w:br/>
        <w:br/>
        <w:t>5)    The undersigned canvassed the votes of the stockholders cast by ballot or proxy on the matters presented at the Meeting.</w:t>
        <w:br/>
        <w:br/>
        <w:t>6)    At the Meeting, the vote to elect two (2) Class II directors, was as follows:</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2819"/>
        <w:gridCol w:w="62"/>
        <w:gridCol w:w="1723"/>
        <w:gridCol w:w="62"/>
        <w:gridCol w:w="1723"/>
        <w:gridCol w:w="62"/>
        <w:gridCol w:w="1724"/>
      </w:tblGrid>
      <w:tr>
        <w:trPr/>
        <w:tc>
          <w:tcPr>
            <w:tcW w:w="2819" w:type="dxa"/>
            <w:tcBorders/>
            <w:vAlign w:val="center"/>
          </w:tcPr>
          <w:p>
            <w:pPr>
              <w:pStyle w:val="TableContents"/>
              <w:bidi w:val="0"/>
              <w:spacing w:before="0" w:after="0"/>
              <w:ind w:left="0" w:right="0" w:hanging="0"/>
              <w:jc w:val="left"/>
              <w:rPr/>
            </w:pPr>
            <w:r>
              <w:rPr/>
              <w:t> </w:t>
            </w:r>
          </w:p>
        </w:tc>
        <w:tc>
          <w:tcPr>
            <w:tcW w:w="62" w:type="dxa"/>
            <w:tcBorders/>
            <w:vAlign w:val="center"/>
          </w:tcPr>
          <w:p>
            <w:pPr>
              <w:pStyle w:val="TableContents"/>
              <w:bidi w:val="0"/>
              <w:spacing w:before="0" w:after="0"/>
              <w:ind w:left="0" w:right="0" w:hanging="0"/>
              <w:jc w:val="left"/>
              <w:rPr/>
            </w:pPr>
            <w:r>
              <w:rPr/>
              <w:t> </w:t>
            </w:r>
          </w:p>
        </w:tc>
        <w:tc>
          <w:tcPr>
            <w:tcW w:w="1723"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62" w:type="dxa"/>
            <w:tcBorders/>
            <w:vAlign w:val="center"/>
          </w:tcPr>
          <w:p>
            <w:pPr>
              <w:pStyle w:val="TableContents"/>
              <w:bidi w:val="0"/>
              <w:spacing w:before="0" w:after="0"/>
              <w:ind w:left="0" w:right="0" w:hanging="0"/>
              <w:jc w:val="left"/>
              <w:rPr/>
            </w:pPr>
            <w:r>
              <w:rPr/>
              <w:t> </w:t>
            </w:r>
          </w:p>
        </w:tc>
        <w:tc>
          <w:tcPr>
            <w:tcW w:w="1723"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WITHHELD</w:t>
            </w:r>
          </w:p>
        </w:tc>
        <w:tc>
          <w:tcPr>
            <w:tcW w:w="62" w:type="dxa"/>
            <w:tcBorders/>
            <w:vAlign w:val="center"/>
          </w:tcPr>
          <w:p>
            <w:pPr>
              <w:pStyle w:val="TableContents"/>
              <w:bidi w:val="0"/>
              <w:spacing w:before="0" w:after="0"/>
              <w:ind w:left="0" w:right="0" w:hanging="0"/>
              <w:jc w:val="left"/>
              <w:rPr/>
            </w:pPr>
            <w:r>
              <w:rPr/>
              <w:t> </w:t>
            </w:r>
          </w:p>
        </w:tc>
        <w:tc>
          <w:tcPr>
            <w:tcW w:w="1724"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BROKER NON-VOTE</w:t>
            </w:r>
          </w:p>
        </w:tc>
      </w:tr>
      <w:tr>
        <w:trPr/>
        <w:tc>
          <w:tcPr>
            <w:tcW w:w="2819" w:type="dxa"/>
            <w:tcBorders/>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Daniel Kasun</w:t>
            </w:r>
          </w:p>
        </w:tc>
        <w:tc>
          <w:tcPr>
            <w:tcW w:w="62" w:type="dxa"/>
            <w:tcBorders/>
            <w:vAlign w:val="center"/>
          </w:tcPr>
          <w:p>
            <w:pPr>
              <w:pStyle w:val="TableContents"/>
              <w:bidi w:val="0"/>
              <w:spacing w:before="0" w:after="0"/>
              <w:ind w:left="0" w:right="0" w:hanging="0"/>
              <w:jc w:val="left"/>
              <w:rPr/>
            </w:pPr>
            <w:r>
              <w:rPr/>
              <w:t> </w:t>
            </w:r>
          </w:p>
        </w:tc>
        <w:tc>
          <w:tcPr>
            <w:tcW w:w="1723" w:type="dxa"/>
            <w:tcBorders/>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24,767,216</w:t>
            </w:r>
          </w:p>
        </w:tc>
        <w:tc>
          <w:tcPr>
            <w:tcW w:w="62" w:type="dxa"/>
            <w:tcBorders/>
            <w:vAlign w:val="center"/>
          </w:tcPr>
          <w:p>
            <w:pPr>
              <w:pStyle w:val="TableContents"/>
              <w:bidi w:val="0"/>
              <w:spacing w:before="0" w:after="0"/>
              <w:ind w:left="0" w:right="0" w:hanging="0"/>
              <w:jc w:val="left"/>
              <w:rPr/>
            </w:pPr>
            <w:r>
              <w:rPr/>
              <w:t> </w:t>
            </w:r>
          </w:p>
        </w:tc>
        <w:tc>
          <w:tcPr>
            <w:tcW w:w="1723" w:type="dxa"/>
            <w:tcBorders/>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35,207</w:t>
            </w:r>
          </w:p>
        </w:tc>
        <w:tc>
          <w:tcPr>
            <w:tcW w:w="62" w:type="dxa"/>
            <w:tcBorders/>
            <w:vAlign w:val="center"/>
          </w:tcPr>
          <w:p>
            <w:pPr>
              <w:pStyle w:val="TableContents"/>
              <w:bidi w:val="0"/>
              <w:spacing w:before="0" w:after="0"/>
              <w:ind w:left="0" w:right="0" w:hanging="0"/>
              <w:jc w:val="left"/>
              <w:rPr/>
            </w:pPr>
            <w:r>
              <w:rPr/>
              <w:t> </w:t>
            </w:r>
          </w:p>
        </w:tc>
        <w:tc>
          <w:tcPr>
            <w:tcW w:w="1724" w:type="dxa"/>
            <w:tcBorders/>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3,197,216</w:t>
            </w:r>
          </w:p>
        </w:tc>
      </w:tr>
      <w:tr>
        <w:trPr/>
        <w:tc>
          <w:tcPr>
            <w:tcW w:w="2819" w:type="dxa"/>
            <w:tcBorders/>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Elizabeth Mora</w:t>
            </w:r>
          </w:p>
        </w:tc>
        <w:tc>
          <w:tcPr>
            <w:tcW w:w="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23"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24,766,024</w:t>
            </w:r>
          </w:p>
        </w:tc>
        <w:tc>
          <w:tcPr>
            <w:tcW w:w="62" w:type="dxa"/>
            <w:tcBorders/>
            <w:vAlign w:val="center"/>
          </w:tcPr>
          <w:p>
            <w:pPr>
              <w:pStyle w:val="TableContents"/>
              <w:bidi w:val="0"/>
              <w:spacing w:before="0" w:after="0"/>
              <w:ind w:left="0" w:right="0" w:hanging="0"/>
              <w:jc w:val="left"/>
              <w:rPr/>
            </w:pPr>
            <w:r>
              <w:rPr/>
              <w:t> </w:t>
            </w:r>
          </w:p>
        </w:tc>
        <w:tc>
          <w:tcPr>
            <w:tcW w:w="1723"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36,399</w:t>
            </w:r>
          </w:p>
        </w:tc>
        <w:tc>
          <w:tcPr>
            <w:tcW w:w="62" w:type="dxa"/>
            <w:tcBorders/>
            <w:vAlign w:val="center"/>
          </w:tcPr>
          <w:p>
            <w:pPr>
              <w:pStyle w:val="TableContents"/>
              <w:bidi w:val="0"/>
              <w:spacing w:before="0" w:after="0"/>
              <w:ind w:left="0" w:right="0" w:hanging="0"/>
              <w:jc w:val="left"/>
              <w:rPr/>
            </w:pPr>
            <w:r>
              <w:rPr/>
              <w:t> </w:t>
            </w:r>
          </w:p>
        </w:tc>
        <w:tc>
          <w:tcPr>
            <w:tcW w:w="1724"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3,197,216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7)    At the Meeting, the vote to approve an amendment to the Company’s 2021 Equity Incentive Plan to increase the number of shares authorized for issuance under the plan, was as follows:</w:t>
        <w:br/>
        <w:br/>
        <w:t> </w:t>
      </w:r>
    </w:p>
    <w:tbl>
      <w:tblPr>
        <w:tblW w:w="8235" w:type="dxa"/>
        <w:jc w:val="left"/>
        <w:tblInd w:w="0" w:type="dxa"/>
        <w:tblLayout w:type="fixed"/>
        <w:tblCellMar>
          <w:top w:w="0" w:type="dxa"/>
          <w:left w:w="0" w:type="dxa"/>
          <w:bottom w:w="0" w:type="dxa"/>
          <w:right w:w="0" w:type="dxa"/>
        </w:tblCellMar>
      </w:tblPr>
      <w:tblGrid>
        <w:gridCol w:w="2010"/>
        <w:gridCol w:w="64"/>
        <w:gridCol w:w="2010"/>
        <w:gridCol w:w="64"/>
        <w:gridCol w:w="2010"/>
        <w:gridCol w:w="64"/>
        <w:gridCol w:w="2013"/>
      </w:tblGrid>
      <w:tr>
        <w:trPr/>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64" w:type="dxa"/>
            <w:tcBorders/>
            <w:vAlign w:val="center"/>
          </w:tcPr>
          <w:p>
            <w:pPr>
              <w:pStyle w:val="TableContents"/>
              <w:bidi w:val="0"/>
              <w:spacing w:before="0" w:after="0"/>
              <w:ind w:left="0" w:right="0" w:hanging="0"/>
              <w:jc w:val="left"/>
              <w:rPr/>
            </w:pPr>
            <w:r>
              <w:rPr/>
              <w:t> </w:t>
            </w:r>
          </w:p>
        </w:tc>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AGAINST</w:t>
            </w:r>
          </w:p>
        </w:tc>
        <w:tc>
          <w:tcPr>
            <w:tcW w:w="64" w:type="dxa"/>
            <w:tcBorders/>
            <w:vAlign w:val="center"/>
          </w:tcPr>
          <w:p>
            <w:pPr>
              <w:pStyle w:val="TableContents"/>
              <w:bidi w:val="0"/>
              <w:spacing w:before="0" w:after="0"/>
              <w:ind w:left="0" w:right="0" w:hanging="0"/>
              <w:jc w:val="left"/>
              <w:rPr/>
            </w:pPr>
            <w:r>
              <w:rPr/>
              <w:t> </w:t>
            </w:r>
          </w:p>
        </w:tc>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ABSTAIN</w:t>
            </w:r>
          </w:p>
        </w:tc>
        <w:tc>
          <w:tcPr>
            <w:tcW w:w="64" w:type="dxa"/>
            <w:tcBorders/>
            <w:vAlign w:val="center"/>
          </w:tcPr>
          <w:p>
            <w:pPr>
              <w:pStyle w:val="TableContents"/>
              <w:bidi w:val="0"/>
              <w:spacing w:before="0" w:after="0"/>
              <w:ind w:left="0" w:right="0" w:hanging="0"/>
              <w:jc w:val="left"/>
              <w:rPr/>
            </w:pPr>
            <w:r>
              <w:rPr/>
              <w:t> </w:t>
            </w:r>
          </w:p>
        </w:tc>
        <w:tc>
          <w:tcPr>
            <w:tcW w:w="2013"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BROKER</w:t>
              <w:br/>
              <w:t>NON-VOTE</w:t>
            </w:r>
          </w:p>
        </w:tc>
      </w:tr>
      <w:tr>
        <w:trPr/>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18,378,187</w:t>
            </w:r>
          </w:p>
        </w:tc>
        <w:tc>
          <w:tcPr>
            <w:tcW w:w="64" w:type="dxa"/>
            <w:tcBorders/>
            <w:vAlign w:val="center"/>
          </w:tcPr>
          <w:p>
            <w:pPr>
              <w:pStyle w:val="TableContents"/>
              <w:bidi w:val="0"/>
              <w:spacing w:before="0" w:after="0"/>
              <w:ind w:left="0" w:right="0" w:hanging="0"/>
              <w:jc w:val="left"/>
              <w:rPr/>
            </w:pPr>
            <w:r>
              <w:rPr/>
              <w:t> </w:t>
            </w:r>
          </w:p>
        </w:tc>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946,000</w:t>
            </w:r>
          </w:p>
        </w:tc>
        <w:tc>
          <w:tcPr>
            <w:tcW w:w="64" w:type="dxa"/>
            <w:tcBorders/>
            <w:vAlign w:val="center"/>
          </w:tcPr>
          <w:p>
            <w:pPr>
              <w:pStyle w:val="TableContents"/>
              <w:bidi w:val="0"/>
              <w:spacing w:before="0" w:after="0"/>
              <w:ind w:left="0" w:right="0" w:hanging="0"/>
              <w:jc w:val="left"/>
              <w:rPr/>
            </w:pPr>
            <w:r>
              <w:rPr/>
              <w:t> </w:t>
            </w:r>
          </w:p>
        </w:tc>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5,478,236</w:t>
            </w:r>
          </w:p>
        </w:tc>
        <w:tc>
          <w:tcPr>
            <w:tcW w:w="64" w:type="dxa"/>
            <w:tcBorders/>
            <w:vAlign w:val="center"/>
          </w:tcPr>
          <w:p>
            <w:pPr>
              <w:pStyle w:val="TableContents"/>
              <w:bidi w:val="0"/>
              <w:spacing w:before="0" w:after="0"/>
              <w:ind w:left="0" w:right="0" w:hanging="0"/>
              <w:jc w:val="left"/>
              <w:rPr/>
            </w:pPr>
            <w:r>
              <w:rPr/>
              <w:t> </w:t>
            </w:r>
          </w:p>
        </w:tc>
        <w:tc>
          <w:tcPr>
            <w:tcW w:w="2013"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3,197,216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8)     At the Meeting, the vote to approve the issuance of shares of the Company’s Class A Common Stock representing more than 19.99% upon the conversion of certain Convertible Notes, was as follows:</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2010"/>
        <w:gridCol w:w="64"/>
        <w:gridCol w:w="2010"/>
        <w:gridCol w:w="64"/>
        <w:gridCol w:w="2010"/>
        <w:gridCol w:w="64"/>
        <w:gridCol w:w="2013"/>
      </w:tblGrid>
      <w:tr>
        <w:trPr/>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64" w:type="dxa"/>
            <w:tcBorders/>
            <w:vAlign w:val="center"/>
          </w:tcPr>
          <w:p>
            <w:pPr>
              <w:pStyle w:val="TableContents"/>
              <w:bidi w:val="0"/>
              <w:spacing w:before="0" w:after="0"/>
              <w:ind w:left="0" w:right="0" w:hanging="0"/>
              <w:jc w:val="left"/>
              <w:rPr/>
            </w:pPr>
            <w:r>
              <w:rPr/>
              <w:t> </w:t>
            </w:r>
          </w:p>
        </w:tc>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AGAINST</w:t>
            </w:r>
          </w:p>
        </w:tc>
        <w:tc>
          <w:tcPr>
            <w:tcW w:w="64" w:type="dxa"/>
            <w:tcBorders/>
            <w:vAlign w:val="center"/>
          </w:tcPr>
          <w:p>
            <w:pPr>
              <w:pStyle w:val="TableContents"/>
              <w:bidi w:val="0"/>
              <w:spacing w:before="0" w:after="0"/>
              <w:ind w:left="0" w:right="0" w:hanging="0"/>
              <w:jc w:val="left"/>
              <w:rPr/>
            </w:pPr>
            <w:r>
              <w:rPr/>
              <w:t> </w:t>
            </w:r>
          </w:p>
        </w:tc>
        <w:tc>
          <w:tcPr>
            <w:tcW w:w="2010"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ABSTAIN</w:t>
            </w:r>
          </w:p>
        </w:tc>
        <w:tc>
          <w:tcPr>
            <w:tcW w:w="64" w:type="dxa"/>
            <w:tcBorders/>
            <w:vAlign w:val="center"/>
          </w:tcPr>
          <w:p>
            <w:pPr>
              <w:pStyle w:val="TableContents"/>
              <w:bidi w:val="0"/>
              <w:spacing w:before="0" w:after="0"/>
              <w:ind w:left="0" w:right="0" w:hanging="0"/>
              <w:jc w:val="left"/>
              <w:rPr/>
            </w:pPr>
            <w:r>
              <w:rPr/>
              <w:t> </w:t>
            </w:r>
          </w:p>
        </w:tc>
        <w:tc>
          <w:tcPr>
            <w:tcW w:w="2013"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BROKER</w:t>
              <w:br/>
              <w:t>NON-VOTE</w:t>
            </w:r>
          </w:p>
        </w:tc>
      </w:tr>
      <w:tr>
        <w:trPr/>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24,725,914</w:t>
            </w:r>
          </w:p>
        </w:tc>
        <w:tc>
          <w:tcPr>
            <w:tcW w:w="64" w:type="dxa"/>
            <w:tcBorders/>
            <w:vAlign w:val="center"/>
          </w:tcPr>
          <w:p>
            <w:pPr>
              <w:pStyle w:val="TableContents"/>
              <w:bidi w:val="0"/>
              <w:spacing w:before="0" w:after="0"/>
              <w:ind w:left="0" w:right="0" w:hanging="0"/>
              <w:jc w:val="left"/>
              <w:rPr/>
            </w:pPr>
            <w:r>
              <w:rPr/>
              <w:t> </w:t>
            </w:r>
          </w:p>
        </w:tc>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72,874</w:t>
            </w:r>
          </w:p>
        </w:tc>
        <w:tc>
          <w:tcPr>
            <w:tcW w:w="64" w:type="dxa"/>
            <w:tcBorders/>
            <w:vAlign w:val="center"/>
          </w:tcPr>
          <w:p>
            <w:pPr>
              <w:pStyle w:val="TableContents"/>
              <w:bidi w:val="0"/>
              <w:spacing w:before="0" w:after="0"/>
              <w:ind w:left="0" w:right="0" w:hanging="0"/>
              <w:jc w:val="left"/>
              <w:rPr/>
            </w:pPr>
            <w:r>
              <w:rPr/>
              <w:t> </w:t>
            </w:r>
          </w:p>
        </w:tc>
        <w:tc>
          <w:tcPr>
            <w:tcW w:w="2010"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3,635</w:t>
            </w:r>
          </w:p>
        </w:tc>
        <w:tc>
          <w:tcPr>
            <w:tcW w:w="64" w:type="dxa"/>
            <w:tcBorders/>
            <w:vAlign w:val="center"/>
          </w:tcPr>
          <w:p>
            <w:pPr>
              <w:pStyle w:val="TableContents"/>
              <w:bidi w:val="0"/>
              <w:spacing w:before="0" w:after="0"/>
              <w:ind w:left="0" w:right="0" w:hanging="0"/>
              <w:jc w:val="left"/>
              <w:rPr/>
            </w:pPr>
            <w:r>
              <w:rPr/>
              <w:t> </w:t>
            </w:r>
          </w:p>
        </w:tc>
        <w:tc>
          <w:tcPr>
            <w:tcW w:w="2013"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3,197,216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9)     At the Meeting, the vote to ratify BPM LLP as Company’s independent registered public accounting firm for the fiscal year ending December 31, 2026, was as follows: </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59"/>
        <w:gridCol w:w="65"/>
        <w:gridCol w:w="2059"/>
        <w:gridCol w:w="65"/>
        <w:gridCol w:w="2059"/>
        <w:gridCol w:w="68"/>
      </w:tblGrid>
      <w:tr>
        <w:trPr/>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65" w:type="dxa"/>
            <w:tcBorders/>
            <w:vAlign w:val="center"/>
          </w:tcPr>
          <w:p>
            <w:pPr>
              <w:pStyle w:val="TableContents"/>
              <w:bidi w:val="0"/>
              <w:spacing w:before="0" w:after="0"/>
              <w:ind w:left="0" w:right="0" w:hanging="0"/>
              <w:jc w:val="left"/>
              <w:rPr/>
            </w:pPr>
            <w:r>
              <w:rPr/>
              <w:t> </w:t>
            </w:r>
          </w:p>
        </w:tc>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AGAINST</w:t>
            </w:r>
          </w:p>
        </w:tc>
        <w:tc>
          <w:tcPr>
            <w:tcW w:w="65" w:type="dxa"/>
            <w:tcBorders/>
            <w:vAlign w:val="center"/>
          </w:tcPr>
          <w:p>
            <w:pPr>
              <w:pStyle w:val="TableContents"/>
              <w:bidi w:val="0"/>
              <w:spacing w:before="0" w:after="0"/>
              <w:ind w:left="0" w:right="0" w:hanging="0"/>
              <w:jc w:val="left"/>
              <w:rPr/>
            </w:pPr>
            <w:r>
              <w:rPr/>
              <w:t> </w:t>
            </w:r>
          </w:p>
        </w:tc>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ABSTAIN</w:t>
            </w:r>
          </w:p>
        </w:tc>
        <w:tc>
          <w:tcPr>
            <w:tcW w:w="68" w:type="dxa"/>
            <w:tcBorders/>
            <w:vAlign w:val="center"/>
          </w:tcPr>
          <w:p>
            <w:pPr>
              <w:pStyle w:val="TableContents"/>
              <w:bidi w:val="0"/>
              <w:spacing w:before="0" w:after="0"/>
              <w:ind w:left="0" w:right="0" w:hanging="0"/>
              <w:jc w:val="left"/>
              <w:rPr/>
            </w:pPr>
            <w:r>
              <w:rPr/>
              <w:t> </w:t>
            </w:r>
          </w:p>
        </w:tc>
      </w:tr>
      <w:tr>
        <w:trPr/>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27,601,747</w:t>
            </w:r>
          </w:p>
        </w:tc>
        <w:tc>
          <w:tcPr>
            <w:tcW w:w="65" w:type="dxa"/>
            <w:tcBorders/>
            <w:vAlign w:val="center"/>
          </w:tcPr>
          <w:p>
            <w:pPr>
              <w:pStyle w:val="TableContents"/>
              <w:bidi w:val="0"/>
              <w:spacing w:before="0" w:after="0"/>
              <w:ind w:left="0" w:right="0" w:hanging="0"/>
              <w:jc w:val="left"/>
              <w:rPr/>
            </w:pPr>
            <w:r>
              <w:rPr/>
              <w:t> </w:t>
            </w:r>
          </w:p>
        </w:tc>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92,479</w:t>
            </w:r>
          </w:p>
        </w:tc>
        <w:tc>
          <w:tcPr>
            <w:tcW w:w="65" w:type="dxa"/>
            <w:tcBorders/>
            <w:vAlign w:val="center"/>
          </w:tcPr>
          <w:p>
            <w:pPr>
              <w:pStyle w:val="TableContents"/>
              <w:bidi w:val="0"/>
              <w:spacing w:before="0" w:after="0"/>
              <w:ind w:left="0" w:right="0" w:hanging="0"/>
              <w:jc w:val="left"/>
              <w:rPr/>
            </w:pPr>
            <w:r>
              <w:rPr/>
              <w:t> </w:t>
            </w:r>
          </w:p>
        </w:tc>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305,413</w:t>
            </w:r>
          </w:p>
        </w:tc>
        <w:tc>
          <w:tcPr>
            <w:tcW w:w="68"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10)     At the Meeting, the vote to approve one or more adjournments of the Annual Meeting from time to time, if necessary, to solicit additional proxies in the event that there are insufficient shares present virtually or represented by proxy voting in favor of the proposals presented at the meeting, was as follows:</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2059"/>
        <w:gridCol w:w="65"/>
        <w:gridCol w:w="2059"/>
        <w:gridCol w:w="65"/>
        <w:gridCol w:w="2059"/>
        <w:gridCol w:w="68"/>
      </w:tblGrid>
      <w:tr>
        <w:trPr/>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w:t>
            </w:r>
          </w:p>
        </w:tc>
        <w:tc>
          <w:tcPr>
            <w:tcW w:w="65" w:type="dxa"/>
            <w:tcBorders/>
            <w:vAlign w:val="center"/>
          </w:tcPr>
          <w:p>
            <w:pPr>
              <w:pStyle w:val="TableContents"/>
              <w:bidi w:val="0"/>
              <w:spacing w:before="0" w:after="0"/>
              <w:ind w:left="0" w:right="0" w:hanging="0"/>
              <w:jc w:val="left"/>
              <w:rPr/>
            </w:pPr>
            <w:r>
              <w:rPr/>
              <w:t> </w:t>
            </w:r>
          </w:p>
        </w:tc>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AGAINST</w:t>
            </w:r>
          </w:p>
        </w:tc>
        <w:tc>
          <w:tcPr>
            <w:tcW w:w="65" w:type="dxa"/>
            <w:tcBorders/>
            <w:vAlign w:val="center"/>
          </w:tcPr>
          <w:p>
            <w:pPr>
              <w:pStyle w:val="TableContents"/>
              <w:bidi w:val="0"/>
              <w:spacing w:before="0" w:after="0"/>
              <w:ind w:left="0" w:right="0" w:hanging="0"/>
              <w:jc w:val="left"/>
              <w:rPr/>
            </w:pPr>
            <w:r>
              <w:rPr/>
              <w:t> </w:t>
            </w:r>
          </w:p>
        </w:tc>
        <w:tc>
          <w:tcPr>
            <w:tcW w:w="2059" w:type="dxa"/>
            <w:tcBorders/>
            <w:vAlign w:val="bottom"/>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ABSTAIN</w:t>
            </w:r>
          </w:p>
        </w:tc>
        <w:tc>
          <w:tcPr>
            <w:tcW w:w="68" w:type="dxa"/>
            <w:tcBorders/>
            <w:vAlign w:val="center"/>
          </w:tcPr>
          <w:p>
            <w:pPr>
              <w:pStyle w:val="TableContents"/>
              <w:bidi w:val="0"/>
              <w:spacing w:before="0" w:after="0"/>
              <w:ind w:left="0" w:right="0" w:hanging="0"/>
              <w:jc w:val="left"/>
              <w:rPr/>
            </w:pPr>
            <w:r>
              <w:rPr/>
              <w:t> </w:t>
            </w:r>
          </w:p>
        </w:tc>
      </w:tr>
      <w:tr>
        <w:trPr/>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26,605,116</w:t>
            </w:r>
          </w:p>
        </w:tc>
        <w:tc>
          <w:tcPr>
            <w:tcW w:w="65" w:type="dxa"/>
            <w:tcBorders/>
            <w:vAlign w:val="center"/>
          </w:tcPr>
          <w:p>
            <w:pPr>
              <w:pStyle w:val="TableContents"/>
              <w:bidi w:val="0"/>
              <w:spacing w:before="0" w:after="0"/>
              <w:ind w:left="0" w:right="0" w:hanging="0"/>
              <w:jc w:val="left"/>
              <w:rPr/>
            </w:pPr>
            <w:r>
              <w:rPr/>
              <w:t> </w:t>
            </w:r>
          </w:p>
        </w:tc>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1,352,622</w:t>
            </w:r>
          </w:p>
        </w:tc>
        <w:tc>
          <w:tcPr>
            <w:tcW w:w="65" w:type="dxa"/>
            <w:tcBorders/>
            <w:vAlign w:val="center"/>
          </w:tcPr>
          <w:p>
            <w:pPr>
              <w:pStyle w:val="TableContents"/>
              <w:bidi w:val="0"/>
              <w:spacing w:before="0" w:after="0"/>
              <w:ind w:left="0" w:right="0" w:hanging="0"/>
              <w:jc w:val="left"/>
              <w:rPr/>
            </w:pPr>
            <w:r>
              <w:rPr/>
              <w:t> </w:t>
            </w:r>
          </w:p>
        </w:tc>
        <w:tc>
          <w:tcPr>
            <w:tcW w:w="2059" w:type="dxa"/>
            <w:tcBorders>
              <w:bottom w:val="single" w:sz="2" w:space="0" w:color="000000"/>
            </w:tcBorders>
            <w:tcMar>
              <w:bottom w:w="28" w:type="dxa"/>
            </w:tcMar>
            <w:vAlign w:val="bottom"/>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41,901</w:t>
            </w:r>
          </w:p>
        </w:tc>
        <w:tc>
          <w:tcPr>
            <w:tcW w:w="68"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I have made this Final Report and have hereunto set my hand this 30th day of September,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Inspector of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i/>
          <w:caps w:val="false"/>
          <w:smallCaps w:val="false"/>
          <w:sz w:val="20"/>
          <w:u w:val="single"/>
        </w:rPr>
        <w:t>/s/ Kathryn Wheadon</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Kathryn Wheadon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1088</Words>
  <Characters>5857</Characters>
  <CharactersWithSpaces>7034</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