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bird20260805_nt10q.htm"/>
      <w:bookmarkStart w:id="1" w:name="ksbird20260805_nt10q"/>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12b-25</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NOTIFICATION OF LATE FILING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060" w:type="dxa"/>
        <w:jc w:val="left"/>
        <w:tblInd w:w="0" w:type="dxa"/>
        <w:tblLayout w:type="fixed"/>
        <w:tblCellMar>
          <w:top w:w="0" w:type="dxa"/>
          <w:left w:w="0" w:type="dxa"/>
          <w:bottom w:w="0" w:type="dxa"/>
          <w:right w:w="0" w:type="dxa"/>
        </w:tblCellMar>
      </w:tblPr>
      <w:tblGrid>
        <w:gridCol w:w="1100"/>
        <w:gridCol w:w="230"/>
        <w:gridCol w:w="890"/>
        <w:gridCol w:w="230"/>
        <w:gridCol w:w="890"/>
        <w:gridCol w:w="230"/>
        <w:gridCol w:w="1070"/>
        <w:gridCol w:w="230"/>
        <w:gridCol w:w="1055"/>
        <w:gridCol w:w="60"/>
        <w:gridCol w:w="75"/>
      </w:tblGrid>
      <w:tr>
        <w:trPr/>
        <w:tc>
          <w:tcPr>
            <w:tcW w:w="1100" w:type="dxa"/>
            <w:tcBorders/>
            <w:vAlign w:val="center"/>
          </w:tcPr>
          <w:p>
            <w:pPr>
              <w:pStyle w:val="TableContents"/>
              <w:bidi w:val="0"/>
              <w:spacing w:before="0" w:after="283"/>
              <w:jc w:val="left"/>
              <w:rPr>
                <w:i/>
                <w:sz w:val="20"/>
              </w:rPr>
            </w:pPr>
            <w:r>
              <w:rPr>
                <w:i/>
                <w:sz w:val="20"/>
              </w:rPr>
              <w:t>(Check One):</w:t>
            </w:r>
          </w:p>
        </w:tc>
        <w:tc>
          <w:tcPr>
            <w:tcW w:w="230"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left"/>
              <w:rPr>
                <w:sz w:val="20"/>
              </w:rPr>
            </w:pPr>
            <w:r>
              <w:rPr>
                <w:sz w:val="20"/>
              </w:rPr>
              <w:t>Form 10-K</w:t>
            </w:r>
          </w:p>
        </w:tc>
        <w:tc>
          <w:tcPr>
            <w:tcW w:w="230"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left"/>
              <w:rPr>
                <w:sz w:val="20"/>
              </w:rPr>
            </w:pPr>
            <w:r>
              <w:rPr>
                <w:sz w:val="20"/>
              </w:rPr>
              <w:t>Form 20-F</w:t>
            </w:r>
          </w:p>
        </w:tc>
        <w:tc>
          <w:tcPr>
            <w:tcW w:w="230"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left"/>
              <w:rPr>
                <w:sz w:val="20"/>
              </w:rPr>
            </w:pPr>
            <w:r>
              <w:rPr>
                <w:sz w:val="20"/>
              </w:rPr>
              <w:t>Form 11-K</w:t>
            </w:r>
          </w:p>
        </w:tc>
        <w:tc>
          <w:tcPr>
            <w:tcW w:w="230" w:type="dxa"/>
            <w:tcBorders/>
            <w:vAlign w:val="center"/>
          </w:tcPr>
          <w:p>
            <w:pPr>
              <w:pStyle w:val="TableContents"/>
              <w:bidi w:val="0"/>
              <w:spacing w:before="0" w:after="0"/>
              <w:ind w:left="0" w:right="0" w:hanging="0"/>
              <w:jc w:val="left"/>
              <w:rPr/>
            </w:pPr>
            <w:r>
              <w:rPr/>
              <w:t> </w:t>
            </w:r>
          </w:p>
        </w:tc>
        <w:tc>
          <w:tcPr>
            <w:tcW w:w="105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5" w:type="dxa"/>
            <w:tcBorders/>
            <w:vAlign w:val="center"/>
          </w:tcPr>
          <w:p>
            <w:pPr>
              <w:pStyle w:val="TableContents"/>
              <w:bidi w:val="0"/>
              <w:spacing w:before="0" w:after="0"/>
              <w:ind w:left="0" w:right="0" w:hanging="0"/>
              <w:jc w:val="left"/>
              <w:rPr/>
            </w:pPr>
            <w:r>
              <w:rPr/>
              <w:t> </w:t>
            </w:r>
          </w:p>
        </w:tc>
      </w:tr>
      <w:tr>
        <w:trPr/>
        <w:tc>
          <w:tcPr>
            <w:tcW w:w="110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left"/>
              <w:rPr>
                <w:sz w:val="20"/>
              </w:rPr>
            </w:pPr>
            <w:r>
              <w:rPr>
                <w:sz w:val="20"/>
              </w:rPr>
              <w:t>Form 10-Q</w:t>
            </w:r>
          </w:p>
        </w:tc>
        <w:tc>
          <w:tcPr>
            <w:tcW w:w="230"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left"/>
              <w:rPr>
                <w:sz w:val="20"/>
              </w:rPr>
            </w:pPr>
            <w:r>
              <w:rPr>
                <w:sz w:val="20"/>
              </w:rPr>
              <w:t>Form 10-D</w:t>
            </w:r>
          </w:p>
        </w:tc>
        <w:tc>
          <w:tcPr>
            <w:tcW w:w="230"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left"/>
              <w:rPr>
                <w:sz w:val="20"/>
              </w:rPr>
            </w:pPr>
            <w:r>
              <w:rPr>
                <w:sz w:val="20"/>
              </w:rPr>
              <w:t>Form N-CEN</w:t>
            </w:r>
          </w:p>
        </w:tc>
        <w:tc>
          <w:tcPr>
            <w:tcW w:w="23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sz w:val="20"/>
              </w:rPr>
            </w:pPr>
            <w:r>
              <w:rPr>
                <w:sz w:val="20"/>
              </w:rPr>
              <w:t>Form N-CSR</w:t>
            </w:r>
          </w:p>
        </w:tc>
        <w:tc>
          <w:tcPr>
            <w:tcW w:w="60" w:type="dxa"/>
            <w:tcBorders/>
            <w:vAlign w:val="center"/>
          </w:tcPr>
          <w:p>
            <w:pPr>
              <w:pStyle w:val="TableContents"/>
              <w:bidi w:val="0"/>
              <w:spacing w:before="0" w:after="0"/>
              <w:ind w:left="0" w:right="0" w:hanging="0"/>
              <w:jc w:val="left"/>
              <w:rPr/>
            </w:pPr>
            <w:r>
              <w:rPr/>
              <w:t> </w:t>
            </w:r>
          </w:p>
        </w:tc>
        <w:tc>
          <w:tcPr>
            <w:tcW w:w="7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For Period Ended: </w:t>
      </w:r>
      <w:r>
        <w:rPr>
          <w:rFonts w:ascii="Times New Roman" w:hAnsi="Times New Roman"/>
          <w:caps w:val="false"/>
          <w:smallCaps w:val="false"/>
          <w:sz w:val="20"/>
          <w:u w:val="single"/>
        </w:rPr>
        <w:t>June 30,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 xml:space="preserve">Transition Report on Form 10-K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 xml:space="preserve">Transition Report on Form 20-F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 xml:space="preserve">Transition Report on Form 11-K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 xml:space="preserve">Transition Report on Form 10-Q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For the Transition Period Ended: _______________________________________ </w:t>
      </w:r>
    </w:p>
    <w:p>
      <w:pPr>
        <w:pStyle w:val="TextBody"/>
        <w:bidi w:val="0"/>
        <w:spacing w:before="0" w:after="0"/>
        <w:ind w:left="0" w:right="0" w:hanging="0"/>
        <w:jc w:val="left"/>
        <w:rPr>
          <w:caps w:val="false"/>
          <w:smallCaps w:val="false"/>
        </w:rPr>
      </w:pPr>
      <w:r>
        <w:rPr>
          <w:caps w:val="false"/>
          <w:smallCaps w:val="false"/>
        </w:rPr>
        <w:t> </w:t>
      </w:r>
    </w:p>
    <w:tbl>
      <w:tblPr>
        <w:tblW w:w="9785" w:type="dxa"/>
        <w:jc w:val="left"/>
        <w:tblInd w:w="-10" w:type="dxa"/>
        <w:tblLayout w:type="fixed"/>
        <w:tblCellMar>
          <w:top w:w="28" w:type="dxa"/>
          <w:left w:w="28" w:type="dxa"/>
          <w:bottom w:w="28" w:type="dxa"/>
          <w:right w:w="28" w:type="dxa"/>
        </w:tblCellMar>
      </w:tblPr>
      <w:tblGrid>
        <w:gridCol w:w="9785"/>
      </w:tblGrid>
      <w:tr>
        <w:trPr/>
        <w:tc>
          <w:tcPr>
            <w:tcW w:w="97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Read Instruction (on back page) Before Preparing Form. Please Print or Type.</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Nothing in this form shall be construed to imply that the Commission has verified any information contained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If the notification relates to a portion of the filing checked above, identify the Item(s) to which the notification relates: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 I - REGISTRANT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Smartbird, Inc.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Full Name of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Allbirds, Inc.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Former Name if Applicable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425 Page Mill Road, Suite 200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Address of Principal Executive Office (Street and Number)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Palo Alto, CA 94306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City, State, Zip Code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 II — RULES 12b-25(b) AND (c)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If the subject report could not be filed without unreasonable effort or expense and the registrant seeks relief pursuant to Rule 12b-25(b), the following should be completed. (Check box if appropriate)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199"/>
        <w:gridCol w:w="9761"/>
      </w:tblGrid>
      <w:tr>
        <w:trPr/>
        <w:tc>
          <w:tcPr>
            <w:tcW w:w="245" w:type="dxa"/>
            <w:tcBorders/>
            <w:vAlign w:val="center"/>
          </w:tcPr>
          <w:p>
            <w:pPr>
              <w:pStyle w:val="TableContents"/>
              <w:bidi w:val="0"/>
              <w:spacing w:before="0" w:after="0"/>
              <w:ind w:left="0" w:right="0" w:hanging="12"/>
              <w:jc w:val="center"/>
              <w:rPr/>
            </w:pPr>
            <w:r>
              <w:rPr/>
              <w:t> </w:t>
            </w:r>
          </w:p>
        </w:tc>
        <w:tc>
          <w:tcPr>
            <w:tcW w:w="199" w:type="dxa"/>
            <w:tcBorders/>
            <w:vAlign w:val="center"/>
          </w:tcPr>
          <w:p>
            <w:pPr>
              <w:pStyle w:val="TableContents"/>
              <w:bidi w:val="0"/>
              <w:spacing w:before="0" w:after="283"/>
              <w:jc w:val="left"/>
              <w:rPr>
                <w:sz w:val="20"/>
              </w:rPr>
            </w:pPr>
            <w:r>
              <w:rPr>
                <w:sz w:val="20"/>
              </w:rPr>
              <w:t>(a)</w:t>
            </w:r>
          </w:p>
        </w:tc>
        <w:tc>
          <w:tcPr>
            <w:tcW w:w="9761" w:type="dxa"/>
            <w:tcBorders/>
            <w:vAlign w:val="center"/>
          </w:tcPr>
          <w:p>
            <w:pPr>
              <w:pStyle w:val="TableContents"/>
              <w:bidi w:val="0"/>
              <w:spacing w:before="0" w:after="283"/>
              <w:jc w:val="left"/>
              <w:rPr>
                <w:sz w:val="20"/>
              </w:rPr>
            </w:pPr>
            <w:r>
              <w:rPr>
                <w:sz w:val="20"/>
              </w:rPr>
              <w:t>The reasons described in reasonable detail in Part III of this form could not be eliminated without unreasonable effort or expense;</w:t>
            </w:r>
          </w:p>
        </w:tc>
      </w:tr>
      <w:tr>
        <w:trPr/>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p>
        </w:tc>
        <w:tc>
          <w:tcPr>
            <w:tcW w:w="199" w:type="dxa"/>
            <w:tcBorders/>
            <w:vAlign w:val="center"/>
          </w:tcPr>
          <w:p>
            <w:pPr>
              <w:pStyle w:val="TableContents"/>
              <w:bidi w:val="0"/>
              <w:spacing w:before="0" w:after="283"/>
              <w:jc w:val="left"/>
              <w:rPr>
                <w:sz w:val="20"/>
              </w:rPr>
            </w:pPr>
            <w:r>
              <w:rPr>
                <w:sz w:val="20"/>
              </w:rPr>
              <w:t>(b)</w:t>
            </w:r>
          </w:p>
        </w:tc>
        <w:tc>
          <w:tcPr>
            <w:tcW w:w="9761" w:type="dxa"/>
            <w:tcBorders/>
            <w:vAlign w:val="center"/>
          </w:tcPr>
          <w:p>
            <w:pPr>
              <w:pStyle w:val="TableContents"/>
              <w:bidi w:val="0"/>
              <w:spacing w:before="0" w:after="283"/>
              <w:jc w:val="both"/>
              <w:rPr>
                <w:sz w:val="20"/>
              </w:rPr>
            </w:pPr>
            <w:r>
              <w:rPr>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tcBorders/>
            <w:vAlign w:val="center"/>
          </w:tcPr>
          <w:p>
            <w:pPr>
              <w:pStyle w:val="TableContents"/>
              <w:bidi w:val="0"/>
              <w:spacing w:before="0" w:after="0"/>
              <w:ind w:left="0" w:right="0" w:hanging="0"/>
              <w:jc w:val="center"/>
              <w:rPr/>
            </w:pPr>
            <w:r>
              <w:rPr/>
              <w:t> </w:t>
            </w:r>
          </w:p>
        </w:tc>
        <w:tc>
          <w:tcPr>
            <w:tcW w:w="199" w:type="dxa"/>
            <w:tcBorders/>
            <w:vAlign w:val="center"/>
          </w:tcPr>
          <w:p>
            <w:pPr>
              <w:pStyle w:val="TableContents"/>
              <w:bidi w:val="0"/>
              <w:spacing w:before="0" w:after="283"/>
              <w:jc w:val="left"/>
              <w:rPr>
                <w:sz w:val="20"/>
              </w:rPr>
            </w:pPr>
            <w:r>
              <w:rPr>
                <w:sz w:val="20"/>
              </w:rPr>
              <w:t>(c)</w:t>
            </w:r>
          </w:p>
        </w:tc>
        <w:tc>
          <w:tcPr>
            <w:tcW w:w="9761" w:type="dxa"/>
            <w:tcBorders/>
            <w:vAlign w:val="center"/>
          </w:tcPr>
          <w:p>
            <w:pPr>
              <w:pStyle w:val="TableContents"/>
              <w:bidi w:val="0"/>
              <w:spacing w:before="0" w:after="283"/>
              <w:jc w:val="left"/>
              <w:rPr>
                <w:sz w:val="20"/>
              </w:rPr>
            </w:pPr>
            <w:r>
              <w:rPr>
                <w:sz w:val="20"/>
              </w:rPr>
              <w:t>The accountant’s statement or other exhibit required by Rule 12b-25(c) has been attached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 III — NARRATIVE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State below in reasonable detail why Forms 10-K, 20-F, 11-K, 10-Q, 10-D, N-CEN, N-CSR, or the transition report or portion thereof, could not be filed within the prescribed time period. (Attach extra Sheets if Needed)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Smartbird, Inc.,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was unable, without unreasonable effort or expense, to file its Quarterly Report on Form 10-Q (“</w:t>
      </w:r>
      <w:r>
        <w:rPr>
          <w:rFonts w:ascii="Times New Roman" w:hAnsi="Times New Roman"/>
          <w:caps w:val="false"/>
          <w:smallCaps w:val="false"/>
          <w:sz w:val="20"/>
          <w:u w:val="single"/>
        </w:rPr>
        <w:t>Form 10-Q</w:t>
      </w:r>
      <w:r>
        <w:rPr>
          <w:rFonts w:ascii="Times New Roman" w:hAnsi="Times New Roman"/>
          <w:caps w:val="false"/>
          <w:smallCaps w:val="false"/>
          <w:sz w:val="20"/>
        </w:rPr>
        <w:t>”) for the quarter period ended June 30, 2026 (“</w:t>
      </w:r>
      <w:r>
        <w:rPr>
          <w:rFonts w:ascii="Times New Roman" w:hAnsi="Times New Roman"/>
          <w:caps w:val="false"/>
          <w:smallCaps w:val="false"/>
          <w:sz w:val="20"/>
          <w:u w:val="single"/>
        </w:rPr>
        <w:t>Q2 2026</w:t>
      </w:r>
      <w:r>
        <w:rPr>
          <w:rFonts w:ascii="Times New Roman" w:hAnsi="Times New Roman"/>
          <w:caps w:val="false"/>
          <w:smallCaps w:val="false"/>
          <w:sz w:val="20"/>
        </w:rPr>
        <w:t xml:space="preserve">”), on or prior to its original due date, August 14, 2026, for the reason set forth below.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t xml:space="preserve">On June 9, 2026, pursuant to an asset purchase agreement, the Company sold the assets and liabilities associated with the Company's historical footwear business (the “Asset Sale”). The Company requires additional time to review and confirm the accounting treatment for its Asset Sale. The Company expects and intends that this process will be completed in time for the Company to file the Form 10-Q no later than the fifth calendar day following the prescribed due 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 IV — OTHER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 Name and telephone number of person to contact in regard to this notification </w:t>
      </w:r>
    </w:p>
    <w:p>
      <w:pPr>
        <w:pStyle w:val="TextBody"/>
        <w:bidi w:val="0"/>
        <w:spacing w:before="0" w:after="0"/>
        <w:ind w:left="0" w:right="0" w:hanging="0"/>
        <w:jc w:val="left"/>
        <w:rPr>
          <w:caps w:val="false"/>
          <w:smallCaps w:val="false"/>
        </w:rPr>
      </w:pPr>
      <w:r>
        <w:rPr>
          <w:caps w:val="false"/>
          <w:smallCaps w:val="false"/>
        </w:rPr>
        <w:t> </w:t>
      </w:r>
    </w:p>
    <w:tbl>
      <w:tblPr>
        <w:tblW w:w="3960" w:type="dxa"/>
        <w:jc w:val="left"/>
        <w:tblInd w:w="0" w:type="dxa"/>
        <w:tblLayout w:type="fixed"/>
        <w:tblCellMar>
          <w:top w:w="0" w:type="dxa"/>
          <w:left w:w="0" w:type="dxa"/>
          <w:bottom w:w="28" w:type="dxa"/>
          <w:right w:w="0" w:type="dxa"/>
        </w:tblCellMar>
      </w:tblPr>
      <w:tblGrid>
        <w:gridCol w:w="1130"/>
        <w:gridCol w:w="60"/>
        <w:gridCol w:w="995"/>
        <w:gridCol w:w="60"/>
        <w:gridCol w:w="1715"/>
      </w:tblGrid>
      <w:tr>
        <w:trPr/>
        <w:tc>
          <w:tcPr>
            <w:tcW w:w="1130" w:type="dxa"/>
            <w:tcBorders>
              <w:bottom w:val="single" w:sz="8" w:space="0" w:color="000000"/>
            </w:tcBorders>
            <w:vAlign w:val="center"/>
          </w:tcPr>
          <w:p>
            <w:pPr>
              <w:pStyle w:val="TableContents"/>
              <w:bidi w:val="0"/>
              <w:spacing w:before="0" w:after="283"/>
              <w:jc w:val="center"/>
              <w:rPr>
                <w:sz w:val="20"/>
              </w:rPr>
            </w:pPr>
            <w:r>
              <w:rPr>
                <w:sz w:val="20"/>
              </w:rPr>
              <w:t>Ann Mitchell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95" w:type="dxa"/>
            <w:tcBorders>
              <w:bottom w:val="single" w:sz="8" w:space="0" w:color="000000"/>
            </w:tcBorders>
            <w:vAlign w:val="center"/>
          </w:tcPr>
          <w:p>
            <w:pPr>
              <w:pStyle w:val="TableContents"/>
              <w:bidi w:val="0"/>
              <w:spacing w:before="0" w:after="283"/>
              <w:jc w:val="center"/>
              <w:rPr>
                <w:sz w:val="20"/>
              </w:rPr>
            </w:pPr>
            <w:r>
              <w:rPr>
                <w:sz w:val="20"/>
              </w:rPr>
              <w:t>628</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715" w:type="dxa"/>
            <w:tcBorders>
              <w:bottom w:val="single" w:sz="8" w:space="0" w:color="000000"/>
            </w:tcBorders>
            <w:vAlign w:val="center"/>
          </w:tcPr>
          <w:p>
            <w:pPr>
              <w:pStyle w:val="TableContents"/>
              <w:bidi w:val="0"/>
              <w:spacing w:before="0" w:after="283"/>
              <w:jc w:val="center"/>
              <w:rPr>
                <w:sz w:val="20"/>
              </w:rPr>
            </w:pPr>
            <w:r>
              <w:rPr>
                <w:sz w:val="20"/>
              </w:rPr>
              <w:t>225-4848</w:t>
            </w:r>
          </w:p>
        </w:tc>
      </w:tr>
      <w:tr>
        <w:trPr/>
        <w:tc>
          <w:tcPr>
            <w:tcW w:w="1130" w:type="dxa"/>
            <w:tcBorders/>
            <w:tcMar>
              <w:bottom w:w="0" w:type="dxa"/>
            </w:tcMar>
            <w:vAlign w:val="center"/>
          </w:tcPr>
          <w:p>
            <w:pPr>
              <w:pStyle w:val="TableContents"/>
              <w:bidi w:val="0"/>
              <w:spacing w:before="0" w:after="283"/>
              <w:jc w:val="center"/>
              <w:rPr>
                <w:sz w:val="20"/>
              </w:rPr>
            </w:pPr>
            <w:r>
              <w:rPr>
                <w:sz w:val="20"/>
              </w:rPr>
              <w:t>(Name)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95" w:type="dxa"/>
            <w:tcBorders/>
            <w:tcMar>
              <w:bottom w:w="0" w:type="dxa"/>
            </w:tcMar>
            <w:vAlign w:val="center"/>
          </w:tcPr>
          <w:p>
            <w:pPr>
              <w:pStyle w:val="TableContents"/>
              <w:bidi w:val="0"/>
              <w:spacing w:before="0" w:after="283"/>
              <w:jc w:val="center"/>
              <w:rPr>
                <w:sz w:val="20"/>
              </w:rPr>
            </w:pPr>
            <w:r>
              <w:rPr>
                <w:sz w:val="20"/>
              </w:rPr>
              <w:t>(Area Code)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715" w:type="dxa"/>
            <w:tcBorders/>
            <w:tcMar>
              <w:bottom w:w="0" w:type="dxa"/>
            </w:tcMar>
            <w:vAlign w:val="center"/>
          </w:tcPr>
          <w:p>
            <w:pPr>
              <w:pStyle w:val="TableContents"/>
              <w:bidi w:val="0"/>
              <w:spacing w:before="0" w:after="283"/>
              <w:jc w:val="center"/>
              <w:rPr>
                <w:sz w:val="20"/>
              </w:rPr>
            </w:pPr>
            <w:r>
              <w:rPr>
                <w:sz w:val="20"/>
              </w:rPr>
              <w:t>(Telephone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(2) Have all other periodic reports required under Section 13 or 15(d) of the Securities Exchange Act of 1934 or Section 30 of the Investment Company Act of 1940 during the preceding 12 months or for such shorter period that the registrant was required to file such report(s) been filed ? If answer is no, identify report(s).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(3) Is it anticipated that any significant change in results of operations from the corresponding period for the last fiscal year will be reflected by the earnings statements to be included in the subject report or portion thereof ?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If so, attach an explanation of the anticipated change, both narratively and quantitatively, and, if appropriate, state the reasons why a reasonable estimate of the results cannot be made.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expect the Asset Sale transaction will qualify as a “strategic shift” under ASC 205-20, “Presenting Discontinued Operations,” which will require discontinued operations reporting, as the historical footwear business constituted a significant business line for the Company. We expect this will result in the adjustment of prior period amounts reported to reflect discontinued operations.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Smartbird, Inc.</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(Name of Registrant as Specified in Charter)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has caused this notification to be signed on its behalf by the undersigned hereunto duly authorized. </w:t>
      </w:r>
    </w:p>
    <w:p>
      <w:pPr>
        <w:pStyle w:val="TextBody"/>
        <w:bidi w:val="0"/>
        <w:spacing w:before="0" w:after="0"/>
        <w:ind w:left="0" w:right="0" w:hanging="0"/>
        <w:jc w:val="left"/>
        <w:rPr>
          <w:caps w:val="false"/>
          <w:smallCaps w:val="false"/>
        </w:rPr>
      </w:pPr>
      <w:r>
        <w:rPr>
          <w:caps w:val="false"/>
          <w:smallCaps w:val="false"/>
        </w:rPr>
        <w:t> </w:t>
      </w:r>
    </w:p>
    <w:tbl>
      <w:tblPr>
        <w:tblW w:w="4610" w:type="dxa"/>
        <w:jc w:val="left"/>
        <w:tblInd w:w="0" w:type="dxa"/>
        <w:tblLayout w:type="fixed"/>
        <w:tblCellMar>
          <w:top w:w="0" w:type="dxa"/>
          <w:left w:w="0" w:type="dxa"/>
          <w:bottom w:w="0" w:type="dxa"/>
          <w:right w:w="0" w:type="dxa"/>
        </w:tblCellMar>
      </w:tblPr>
      <w:tblGrid>
        <w:gridCol w:w="470"/>
        <w:gridCol w:w="1370"/>
        <w:gridCol w:w="60"/>
        <w:gridCol w:w="320"/>
        <w:gridCol w:w="2390"/>
      </w:tblGrid>
      <w:tr>
        <w:trPr/>
        <w:tc>
          <w:tcPr>
            <w:tcW w:w="470" w:type="dxa"/>
            <w:tcBorders/>
            <w:vAlign w:val="center"/>
          </w:tcPr>
          <w:p>
            <w:pPr>
              <w:pStyle w:val="TableContents"/>
              <w:bidi w:val="0"/>
              <w:spacing w:before="0" w:after="283"/>
              <w:jc w:val="left"/>
              <w:rPr>
                <w:sz w:val="20"/>
              </w:rPr>
            </w:pPr>
            <w:r>
              <w:rPr>
                <w:sz w:val="20"/>
              </w:rPr>
              <w:t>Date:</w:t>
            </w:r>
          </w:p>
        </w:tc>
        <w:tc>
          <w:tcPr>
            <w:tcW w:w="1370" w:type="dxa"/>
            <w:tcBorders>
              <w:bottom w:val="single" w:sz="8" w:space="0" w:color="000000"/>
            </w:tcBorders>
            <w:tcMar>
              <w:bottom w:w="28" w:type="dxa"/>
            </w:tcMar>
            <w:vAlign w:val="center"/>
          </w:tcPr>
          <w:p>
            <w:pPr>
              <w:pStyle w:val="TableContents"/>
              <w:bidi w:val="0"/>
              <w:spacing w:before="0" w:after="283"/>
              <w:jc w:val="left"/>
              <w:rPr>
                <w:sz w:val="20"/>
              </w:rPr>
            </w:pPr>
            <w:r>
              <w:rPr>
                <w:sz w:val="20"/>
              </w:rPr>
              <w:t>August 17, 2026</w:t>
            </w:r>
          </w:p>
        </w:tc>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283"/>
              <w:jc w:val="right"/>
              <w:rPr>
                <w:sz w:val="20"/>
              </w:rPr>
            </w:pPr>
            <w:r>
              <w:rPr>
                <w:sz w:val="20"/>
              </w:rPr>
              <w:t>By:</w:t>
            </w:r>
          </w:p>
        </w:tc>
        <w:tc>
          <w:tcPr>
            <w:tcW w:w="239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Ann Mitchell</w:t>
            </w:r>
          </w:p>
        </w:tc>
      </w:tr>
      <w:tr>
        <w:trPr/>
        <w:tc>
          <w:tcPr>
            <w:tcW w:w="470" w:type="dxa"/>
            <w:tcBorders/>
            <w:vAlign w:val="center"/>
          </w:tcPr>
          <w:p>
            <w:pPr>
              <w:pStyle w:val="TableContents"/>
              <w:bidi w:val="0"/>
              <w:spacing w:before="0" w:after="0"/>
              <w:ind w:left="0" w:right="0" w:hanging="0"/>
              <w:jc w:val="both"/>
              <w:rPr/>
            </w:pPr>
            <w:r>
              <w:rPr/>
              <w:t> </w:t>
            </w:r>
          </w:p>
        </w:tc>
        <w:tc>
          <w:tcPr>
            <w:tcW w:w="1370" w:type="dxa"/>
            <w:tcBorders/>
            <w:vAlign w:val="center"/>
          </w:tcPr>
          <w:p>
            <w:pPr>
              <w:pStyle w:val="TableContents"/>
              <w:bidi w:val="0"/>
              <w:spacing w:before="0" w:after="0"/>
              <w:ind w:left="0" w:right="0" w:hanging="0"/>
              <w:jc w:val="both"/>
              <w:rPr/>
            </w:pPr>
            <w:r>
              <w:rPr/>
              <w:t> </w:t>
            </w:r>
          </w:p>
        </w:tc>
        <w:tc>
          <w:tcPr>
            <w:tcW w:w="60" w:type="dxa"/>
            <w:tcBorders/>
            <w:vAlign w:val="center"/>
          </w:tcPr>
          <w:p>
            <w:pPr>
              <w:pStyle w:val="TableContents"/>
              <w:bidi w:val="0"/>
              <w:spacing w:before="0" w:after="0"/>
              <w:ind w:left="0" w:right="0" w:hanging="0"/>
              <w:jc w:val="both"/>
              <w:rPr/>
            </w:pPr>
            <w:r>
              <w:rPr/>
              <w:t> </w:t>
            </w:r>
          </w:p>
        </w:tc>
        <w:tc>
          <w:tcPr>
            <w:tcW w:w="320" w:type="dxa"/>
            <w:tcBorders/>
            <w:vAlign w:val="center"/>
          </w:tcPr>
          <w:p>
            <w:pPr>
              <w:pStyle w:val="TableContents"/>
              <w:bidi w:val="0"/>
              <w:spacing w:before="0" w:after="0"/>
              <w:ind w:left="0" w:right="0" w:hanging="0"/>
              <w:jc w:val="both"/>
              <w:rPr/>
            </w:pPr>
            <w:r>
              <w:rPr/>
              <w:t> </w:t>
            </w:r>
          </w:p>
        </w:tc>
        <w:tc>
          <w:tcPr>
            <w:tcW w:w="23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Ann Mitchell</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734</Words>
  <Characters>3822</Characters>
  <CharactersWithSpaces>4585</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