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4, 2026</w:t>
      </w:r>
    </w:p>
    <w:p>
      <w:pPr>
        <w:spacing w:after="0" w:line="200" w:lineRule="exact"/>
        <w:rPr>
          <w:sz w:val="24"/>
          <w:szCs w:val="24"/>
          <w:color w:val="auto"/>
        </w:rPr>
      </w:pPr>
    </w:p>
    <w:p>
      <w:pPr>
        <w:spacing w:after="0" w:line="26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Allbirds, Inc.</w:t>
      </w:r>
    </w:p>
    <w:p>
      <w:pPr>
        <w:jc w:val="center"/>
        <w:spacing w:after="0" w:line="208"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00" w:lineRule="exact"/>
        <w:rPr>
          <w:sz w:val="24"/>
          <w:szCs w:val="24"/>
          <w:color w:val="auto"/>
        </w:rPr>
      </w:pPr>
    </w:p>
    <w:p>
      <w:pPr>
        <w:spacing w:after="0" w:line="285"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2180" w:type="dxa"/>
            <w:vAlign w:val="bottom"/>
          </w:tcPr>
          <w:p>
            <w:pPr>
              <w:jc w:val="center"/>
              <w:ind w:right="48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0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001-40963</w:t>
            </w:r>
          </w:p>
        </w:tc>
        <w:tc>
          <w:tcPr>
            <w:tcW w:w="176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rPr>
              <w:t>47-3999983</w:t>
            </w:r>
          </w:p>
        </w:tc>
      </w:tr>
      <w:tr>
        <w:trPr>
          <w:trHeight w:val="149"/>
        </w:trPr>
        <w:tc>
          <w:tcPr>
            <w:tcW w:w="2180" w:type="dxa"/>
            <w:vAlign w:val="bottom"/>
          </w:tcPr>
          <w:p>
            <w:pPr>
              <w:jc w:val="center"/>
              <w:ind w:right="4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00" w:type="dxa"/>
            <w:vAlign w:val="bottom"/>
          </w:tcPr>
          <w:p>
            <w:pPr>
              <w:ind w:left="20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60" w:type="dxa"/>
            <w:vAlign w:val="bottom"/>
          </w:tcPr>
          <w:p>
            <w:pPr>
              <w:jc w:val="center"/>
              <w:ind w:left="5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80" w:type="dxa"/>
            <w:vAlign w:val="bottom"/>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00" w:type="dxa"/>
            <w:vAlign w:val="bottom"/>
          </w:tcPr>
          <w:p>
            <w:pPr>
              <w:ind w:left="20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6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1"/>
        </w:trPr>
        <w:tc>
          <w:tcPr>
            <w:tcW w:w="2180" w:type="dxa"/>
            <w:vAlign w:val="bottom"/>
          </w:tcPr>
          <w:p>
            <w:pPr>
              <w:spacing w:after="0"/>
              <w:rPr>
                <w:sz w:val="24"/>
                <w:szCs w:val="24"/>
                <w:color w:val="auto"/>
              </w:rPr>
            </w:pPr>
          </w:p>
        </w:tc>
        <w:tc>
          <w:tcPr>
            <w:tcW w:w="500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530 Washington Street</w:t>
            </w:r>
          </w:p>
        </w:tc>
        <w:tc>
          <w:tcPr>
            <w:tcW w:w="1760" w:type="dxa"/>
            <w:vAlign w:val="bottom"/>
          </w:tcPr>
          <w:p>
            <w:pPr>
              <w:spacing w:after="0"/>
              <w:rPr>
                <w:sz w:val="24"/>
                <w:szCs w:val="24"/>
                <w:color w:val="auto"/>
              </w:rPr>
            </w:pPr>
          </w:p>
        </w:tc>
      </w:tr>
      <w:tr>
        <w:trPr>
          <w:trHeight w:val="178"/>
        </w:trPr>
        <w:tc>
          <w:tcPr>
            <w:tcW w:w="2180" w:type="dxa"/>
            <w:vAlign w:val="bottom"/>
          </w:tcPr>
          <w:p>
            <w:pPr>
              <w:spacing w:after="0"/>
              <w:rPr>
                <w:sz w:val="15"/>
                <w:szCs w:val="15"/>
                <w:color w:val="auto"/>
              </w:rPr>
            </w:pPr>
          </w:p>
        </w:tc>
        <w:tc>
          <w:tcPr>
            <w:tcW w:w="5000" w:type="dxa"/>
            <w:vAlign w:val="bottom"/>
          </w:tcPr>
          <w:p>
            <w:pPr>
              <w:jc w:val="center"/>
              <w:ind w:right="38"/>
              <w:spacing w:after="0" w:line="178" w:lineRule="exact"/>
              <w:rPr>
                <w:sz w:val="20"/>
                <w:szCs w:val="20"/>
                <w:color w:val="auto"/>
              </w:rPr>
            </w:pPr>
            <w:r>
              <w:rPr>
                <w:rFonts w:ascii="Times New Roman" w:cs="Times New Roman" w:eastAsia="Times New Roman" w:hAnsi="Times New Roman"/>
                <w:sz w:val="18"/>
                <w:szCs w:val="18"/>
                <w:b w:val="1"/>
                <w:bCs w:val="1"/>
                <w:color w:val="auto"/>
                <w:w w:val="99"/>
              </w:rPr>
              <w:t>San Francisco, CA 94111</w:t>
            </w:r>
          </w:p>
        </w:tc>
        <w:tc>
          <w:tcPr>
            <w:tcW w:w="1760" w:type="dxa"/>
            <w:vAlign w:val="bottom"/>
          </w:tcPr>
          <w:p>
            <w:pPr>
              <w:spacing w:after="0"/>
              <w:rPr>
                <w:sz w:val="15"/>
                <w:szCs w:val="15"/>
                <w:color w:val="auto"/>
              </w:rPr>
            </w:pPr>
          </w:p>
        </w:tc>
      </w:tr>
      <w:tr>
        <w:trPr>
          <w:trHeight w:val="190"/>
        </w:trPr>
        <w:tc>
          <w:tcPr>
            <w:tcW w:w="2180" w:type="dxa"/>
            <w:vAlign w:val="bottom"/>
          </w:tcPr>
          <w:p>
            <w:pPr>
              <w:spacing w:after="0"/>
              <w:rPr>
                <w:sz w:val="16"/>
                <w:szCs w:val="16"/>
                <w:color w:val="auto"/>
              </w:rPr>
            </w:pPr>
          </w:p>
        </w:tc>
        <w:tc>
          <w:tcPr>
            <w:tcW w:w="5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60" w:type="dxa"/>
            <w:vAlign w:val="bottom"/>
          </w:tcPr>
          <w:p>
            <w:pPr>
              <w:spacing w:after="0"/>
              <w:rPr>
                <w:sz w:val="16"/>
                <w:szCs w:val="16"/>
                <w:color w:val="auto"/>
              </w:rPr>
            </w:pPr>
          </w:p>
        </w:tc>
      </w:tr>
      <w:tr>
        <w:trPr>
          <w:trHeight w:val="377"/>
        </w:trPr>
        <w:tc>
          <w:tcPr>
            <w:tcW w:w="2180" w:type="dxa"/>
            <w:vAlign w:val="bottom"/>
          </w:tcPr>
          <w:p>
            <w:pPr>
              <w:spacing w:after="0"/>
              <w:rPr>
                <w:sz w:val="24"/>
                <w:szCs w:val="24"/>
                <w:color w:val="auto"/>
              </w:rPr>
            </w:pPr>
          </w:p>
        </w:tc>
        <w:tc>
          <w:tcPr>
            <w:tcW w:w="5000" w:type="dxa"/>
            <w:vAlign w:val="bottom"/>
          </w:tcPr>
          <w:p>
            <w:pPr>
              <w:jc w:val="right"/>
              <w:ind w:right="1918"/>
              <w:spacing w:after="0"/>
              <w:rPr>
                <w:sz w:val="20"/>
                <w:szCs w:val="20"/>
                <w:color w:val="auto"/>
              </w:rPr>
            </w:pPr>
            <w:r>
              <w:rPr>
                <w:rFonts w:ascii="Times New Roman" w:cs="Times New Roman" w:eastAsia="Times New Roman" w:hAnsi="Times New Roman"/>
                <w:sz w:val="18"/>
                <w:szCs w:val="18"/>
                <w:b w:val="1"/>
                <w:bCs w:val="1"/>
                <w:color w:val="auto"/>
              </w:rPr>
              <w:t>(628) 225-4848</w:t>
            </w:r>
          </w:p>
        </w:tc>
        <w:tc>
          <w:tcPr>
            <w:tcW w:w="1760" w:type="dxa"/>
            <w:vAlign w:val="bottom"/>
          </w:tcPr>
          <w:p>
            <w:pPr>
              <w:spacing w:after="0"/>
              <w:rPr>
                <w:sz w:val="24"/>
                <w:szCs w:val="24"/>
                <w:color w:val="auto"/>
              </w:rPr>
            </w:pPr>
          </w:p>
        </w:tc>
      </w:tr>
      <w:tr>
        <w:trPr>
          <w:trHeight w:val="190"/>
        </w:trPr>
        <w:tc>
          <w:tcPr>
            <w:tcW w:w="2180" w:type="dxa"/>
            <w:vAlign w:val="bottom"/>
          </w:tcPr>
          <w:p>
            <w:pPr>
              <w:spacing w:after="0"/>
              <w:rPr>
                <w:sz w:val="16"/>
                <w:szCs w:val="16"/>
                <w:color w:val="auto"/>
              </w:rPr>
            </w:pPr>
          </w:p>
        </w:tc>
        <w:tc>
          <w:tcPr>
            <w:tcW w:w="5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60" w:type="dxa"/>
            <w:vAlign w:val="bottom"/>
          </w:tcPr>
          <w:p>
            <w:pPr>
              <w:spacing w:after="0"/>
              <w:rPr>
                <w:sz w:val="16"/>
                <w:szCs w:val="16"/>
                <w:color w:val="auto"/>
              </w:rPr>
            </w:pPr>
          </w:p>
        </w:tc>
      </w:tr>
      <w:tr>
        <w:trPr>
          <w:trHeight w:val="280"/>
        </w:trPr>
        <w:tc>
          <w:tcPr>
            <w:tcW w:w="2180" w:type="dxa"/>
            <w:vAlign w:val="bottom"/>
          </w:tcPr>
          <w:p>
            <w:pPr>
              <w:spacing w:after="0"/>
              <w:rPr>
                <w:sz w:val="24"/>
                <w:szCs w:val="24"/>
                <w:color w:val="auto"/>
              </w:rPr>
            </w:pPr>
          </w:p>
        </w:tc>
        <w:tc>
          <w:tcPr>
            <w:tcW w:w="50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60" w:type="dxa"/>
            <w:vAlign w:val="bottom"/>
          </w:tcPr>
          <w:p>
            <w:pPr>
              <w:spacing w:after="0"/>
              <w:rPr>
                <w:sz w:val="24"/>
                <w:szCs w:val="24"/>
                <w:color w:val="auto"/>
              </w:rPr>
            </w:pPr>
          </w:p>
        </w:tc>
      </w:tr>
      <w:tr>
        <w:trPr>
          <w:trHeight w:val="190"/>
        </w:trPr>
        <w:tc>
          <w:tcPr>
            <w:tcW w:w="2180" w:type="dxa"/>
            <w:vAlign w:val="bottom"/>
          </w:tcPr>
          <w:p>
            <w:pPr>
              <w:spacing w:after="0"/>
              <w:rPr>
                <w:sz w:val="16"/>
                <w:szCs w:val="16"/>
                <w:color w:val="auto"/>
              </w:rPr>
            </w:pPr>
          </w:p>
        </w:tc>
        <w:tc>
          <w:tcPr>
            <w:tcW w:w="5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60" w:type="dxa"/>
            <w:vAlign w:val="bottom"/>
          </w:tcPr>
          <w:p>
            <w:pPr>
              <w:spacing w:after="0"/>
              <w:rPr>
                <w:sz w:val="16"/>
                <w:szCs w:val="16"/>
                <w:color w:val="auto"/>
              </w:rPr>
            </w:pPr>
          </w:p>
        </w:tc>
      </w:tr>
      <w:tr>
        <w:trPr>
          <w:trHeight w:val="431"/>
        </w:trPr>
        <w:tc>
          <w:tcPr>
            <w:tcW w:w="2180" w:type="dxa"/>
            <w:vAlign w:val="bottom"/>
          </w:tcPr>
          <w:p>
            <w:pPr>
              <w:spacing w:after="0"/>
              <w:rPr>
                <w:sz w:val="24"/>
                <w:szCs w:val="24"/>
                <w:color w:val="auto"/>
              </w:rPr>
            </w:pPr>
          </w:p>
        </w:tc>
        <w:tc>
          <w:tcPr>
            <w:tcW w:w="5000" w:type="dxa"/>
            <w:vAlign w:val="bottom"/>
          </w:tcPr>
          <w:p>
            <w:pPr>
              <w:jc w:val="right"/>
              <w:ind w:right="898"/>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1760" w:type="dxa"/>
            <w:vAlign w:val="bottom"/>
          </w:tcPr>
          <w:p>
            <w:pPr>
              <w:spacing w:after="0"/>
              <w:rPr>
                <w:sz w:val="24"/>
                <w:szCs w:val="24"/>
                <w:color w:val="auto"/>
              </w:rPr>
            </w:pPr>
          </w:p>
        </w:tc>
      </w:tr>
    </w:tbl>
    <w:p>
      <w:pPr>
        <w:spacing w:after="0" w:line="184" w:lineRule="exact"/>
        <w:rPr>
          <w:sz w:val="24"/>
          <w:szCs w:val="24"/>
          <w:color w:val="auto"/>
        </w:rPr>
      </w:pPr>
    </w:p>
    <w:p>
      <w:pPr>
        <w:ind w:right="20" w:firstLine="3"/>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3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ind w:left="360" w:hanging="352"/>
        <w:spacing w:after="0" w:line="203"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ind w:left="360" w:hanging="352"/>
        <w:spacing w:after="0" w:line="219"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32"/>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$0.0001 par value</w:t>
            </w:r>
          </w:p>
        </w:tc>
        <w:tc>
          <w:tcPr>
            <w:tcW w:w="16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BIRD</w:t>
            </w:r>
          </w:p>
        </w:tc>
        <w:tc>
          <w:tcPr>
            <w:tcW w:w="18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97" w:lineRule="exact"/>
        <w:rPr>
          <w:sz w:val="24"/>
          <w:szCs w:val="24"/>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ind w:right="16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3.02</w:t>
        <w:tab/>
        <w:t>Unregistered Sales of Equity Securities.</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previously disclosed, on April 14, 2026, Allbirds, Inc., a Delaware public benefit corporation (the “Company”) entered into a Securities Purchase Agreement (as subsequently amended, the “Purchase Agreement”), pursuant to which the Company agreed to issue and sell senior secured convertible notes in an aggregate original principal amount of up to $50.0 million (the “Convertible Notes”), convertible into shares of the Company’s Class A common stock (the “Facility”).</w:t>
      </w:r>
    </w:p>
    <w:p>
      <w:pPr>
        <w:spacing w:after="0" w:line="20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June 4, 2026, the Company sold $5.0 million in aggregate principal amount of Convertible Notes. The Convertible Notes were offered and sold in reliance on the exemption from registration provided by Rule 506(b) of the Securities Act of 1933, as amended. The $5.0 million is inclusive of the $2.0 million that was subject to the approval of the Nasdaq Proposal (as such term is defined in that certain definitive Proxy Statement filed by the</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Company with the Securities and Exchange Commission on May 8, 2026). </w:t>
      </w:r>
      <w:r>
        <w:rPr>
          <w:rFonts w:ascii="Times New Roman" w:cs="Times New Roman" w:eastAsia="Times New Roman" w:hAnsi="Times New Roman"/>
          <w:sz w:val="21"/>
          <w:szCs w:val="21"/>
          <w:color w:val="auto"/>
        </w:rPr>
        <w:t>A</w:t>
      </w:r>
      <w:r>
        <w:rPr>
          <w:rFonts w:ascii="Times New Roman" w:cs="Times New Roman" w:eastAsia="Times New Roman" w:hAnsi="Times New Roman"/>
          <w:sz w:val="18"/>
          <w:szCs w:val="18"/>
          <w:color w:val="auto"/>
        </w:rPr>
        <w:t>n aggregate principal amount of $41.75 million in Convertible Notes remains available to be sold under the Facility at the option of the holders of the Convertible Notes.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proceeds from this tranche of the Convertible Notes are anticipated to be used for general corporate purposes and working capital.</w:t>
      </w:r>
    </w:p>
    <w:p>
      <w:pPr>
        <w:spacing w:after="0" w:line="23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1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9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r>
        <w:trPr>
          <w:trHeight w:val="1244"/>
        </w:trPr>
        <w:tc>
          <w:tcPr>
            <w:tcW w:w="1380" w:type="dxa"/>
            <w:vAlign w:val="bottom"/>
            <w:tcBorders>
              <w:bottom w:val="single" w:sz="8" w:color="9A9A9A"/>
            </w:tcBorders>
          </w:tcPr>
          <w:p>
            <w:pPr>
              <w:spacing w:after="0"/>
              <w:rPr>
                <w:sz w:val="24"/>
                <w:szCs w:val="24"/>
                <w:color w:val="auto"/>
              </w:rPr>
            </w:pPr>
          </w:p>
        </w:tc>
        <w:tc>
          <w:tcPr>
            <w:tcW w:w="9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Dated: June 10, 2026</w:t>
      </w:r>
    </w:p>
    <w:p>
      <w:pPr>
        <w:spacing w:after="0" w:line="23" w:lineRule="exact"/>
        <w:rPr>
          <w:sz w:val="20"/>
          <w:szCs w:val="20"/>
          <w:color w:val="auto"/>
        </w:rPr>
      </w:pPr>
    </w:p>
    <w:p>
      <w:pPr>
        <w:ind w:left="5340"/>
        <w:spacing w:after="0"/>
        <w:tabs>
          <w:tab w:leader="none" w:pos="5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Vernachio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Joseph Vernachio</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1220"/>
      </w:cols>
      <w:pgMar w:left="320" w:top="9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2026-06-10T15:03:55Z</dcterms:created>
  <dcterms:modified xsi:type="dcterms:W3CDTF">2026-06-10T15:03:55Z</dcterms:modified>
</cp:coreProperties>
</file>